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E5" w:rsidRDefault="00FB6AE5" w:rsidP="00165432">
      <w:pPr>
        <w:jc w:val="both"/>
      </w:pPr>
      <w:bookmarkStart w:id="0" w:name="_GoBack"/>
      <w:bookmarkEnd w:id="0"/>
      <w:r>
        <w:rPr>
          <w:noProof/>
          <w:lang w:eastAsia="en-GB"/>
        </w:rPr>
        <w:drawing>
          <wp:anchor distT="0" distB="0" distL="114300" distR="114300" simplePos="0" relativeHeight="251659264" behindDoc="1" locked="0" layoutInCell="1" allowOverlap="1" wp14:anchorId="2644316B" wp14:editId="21289D35">
            <wp:simplePos x="0" y="0"/>
            <wp:positionH relativeFrom="column">
              <wp:posOffset>1574165</wp:posOffset>
            </wp:positionH>
            <wp:positionV relativeFrom="paragraph">
              <wp:posOffset>77470</wp:posOffset>
            </wp:positionV>
            <wp:extent cx="2621915" cy="2135505"/>
            <wp:effectExtent l="0" t="0" r="6985" b="0"/>
            <wp:wrapTight wrapText="bothSides">
              <wp:wrapPolygon edited="0">
                <wp:start x="471" y="0"/>
                <wp:lineTo x="0" y="578"/>
                <wp:lineTo x="0" y="20617"/>
                <wp:lineTo x="628" y="21388"/>
                <wp:lineTo x="20873" y="21388"/>
                <wp:lineTo x="21501" y="20617"/>
                <wp:lineTo x="21501" y="578"/>
                <wp:lineTo x="21030" y="0"/>
                <wp:lineTo x="471"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kins\AppData\Local\Microsoft\Windows\Temporary Internet Files\Content.Word\IFCA_NorthWest_Col.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4311"/>
                    <a:stretch/>
                  </pic:blipFill>
                  <pic:spPr bwMode="auto">
                    <a:xfrm>
                      <a:off x="0" y="0"/>
                      <a:ext cx="2621915" cy="2135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6AE5" w:rsidRDefault="00FB6AE5" w:rsidP="00165432">
      <w:pPr>
        <w:jc w:val="both"/>
      </w:pPr>
    </w:p>
    <w:p w:rsidR="00FB6AE5" w:rsidRDefault="00FB6AE5" w:rsidP="00165432">
      <w:pPr>
        <w:jc w:val="both"/>
      </w:pPr>
    </w:p>
    <w:p w:rsidR="00FB6AE5" w:rsidRDefault="00FB6AE5" w:rsidP="00165432">
      <w:pPr>
        <w:jc w:val="both"/>
      </w:pPr>
    </w:p>
    <w:p w:rsidR="00FB6AE5" w:rsidRDefault="00FB6AE5" w:rsidP="00165432">
      <w:pPr>
        <w:jc w:val="both"/>
      </w:pPr>
    </w:p>
    <w:p w:rsidR="00FB6AE5" w:rsidRDefault="00FB6AE5" w:rsidP="00165432">
      <w:pPr>
        <w:jc w:val="both"/>
      </w:pPr>
    </w:p>
    <w:p w:rsidR="00FB6AE5" w:rsidRDefault="00FB6AE5" w:rsidP="00165432">
      <w:pPr>
        <w:jc w:val="both"/>
      </w:pPr>
    </w:p>
    <w:p w:rsidR="00C35BE6" w:rsidRDefault="00C35BE6" w:rsidP="00165432">
      <w:pPr>
        <w:pStyle w:val="Style1"/>
        <w:numPr>
          <w:ilvl w:val="0"/>
          <w:numId w:val="0"/>
        </w:numPr>
        <w:jc w:val="center"/>
        <w:rPr>
          <w:sz w:val="72"/>
        </w:rPr>
      </w:pPr>
    </w:p>
    <w:p w:rsidR="00F82953" w:rsidRPr="005A2218" w:rsidRDefault="00C43D55" w:rsidP="00165432">
      <w:pPr>
        <w:pStyle w:val="Style1"/>
        <w:numPr>
          <w:ilvl w:val="0"/>
          <w:numId w:val="0"/>
        </w:numPr>
        <w:jc w:val="center"/>
        <w:rPr>
          <w:sz w:val="56"/>
          <w:szCs w:val="56"/>
        </w:rPr>
      </w:pPr>
      <w:r w:rsidRPr="005A2218">
        <w:rPr>
          <w:sz w:val="56"/>
          <w:szCs w:val="56"/>
        </w:rPr>
        <w:t>Marine Protected Areas</w:t>
      </w:r>
    </w:p>
    <w:p w:rsidR="00E83821" w:rsidRPr="005A2218" w:rsidRDefault="00E83821" w:rsidP="00165432">
      <w:pPr>
        <w:pStyle w:val="Style1"/>
        <w:numPr>
          <w:ilvl w:val="0"/>
          <w:numId w:val="0"/>
        </w:numPr>
        <w:jc w:val="center"/>
        <w:rPr>
          <w:sz w:val="56"/>
          <w:szCs w:val="56"/>
        </w:rPr>
      </w:pPr>
    </w:p>
    <w:p w:rsidR="00C43D55" w:rsidRPr="005A2218" w:rsidRDefault="00C43D55" w:rsidP="00165432">
      <w:pPr>
        <w:pStyle w:val="Style1"/>
        <w:numPr>
          <w:ilvl w:val="0"/>
          <w:numId w:val="0"/>
        </w:numPr>
        <w:jc w:val="center"/>
        <w:rPr>
          <w:sz w:val="56"/>
          <w:szCs w:val="56"/>
        </w:rPr>
      </w:pPr>
      <w:r w:rsidRPr="005A2218">
        <w:rPr>
          <w:sz w:val="56"/>
          <w:szCs w:val="56"/>
        </w:rPr>
        <w:t>Fisheries Monitoring and Control Plan</w:t>
      </w:r>
    </w:p>
    <w:p w:rsidR="00E83821" w:rsidRDefault="00E83821" w:rsidP="00165432">
      <w:pPr>
        <w:pStyle w:val="Style1"/>
        <w:numPr>
          <w:ilvl w:val="0"/>
          <w:numId w:val="0"/>
        </w:numPr>
        <w:jc w:val="center"/>
        <w:rPr>
          <w:sz w:val="22"/>
        </w:rPr>
      </w:pPr>
    </w:p>
    <w:p w:rsidR="00E83821" w:rsidRDefault="00E83821" w:rsidP="00165432">
      <w:pPr>
        <w:pStyle w:val="Style1"/>
        <w:numPr>
          <w:ilvl w:val="0"/>
          <w:numId w:val="0"/>
        </w:numPr>
        <w:jc w:val="center"/>
        <w:rPr>
          <w:sz w:val="22"/>
        </w:rPr>
      </w:pPr>
    </w:p>
    <w:p w:rsidR="00E83821" w:rsidRDefault="00E83821" w:rsidP="00165432">
      <w:pPr>
        <w:pStyle w:val="Style1"/>
        <w:numPr>
          <w:ilvl w:val="0"/>
          <w:numId w:val="0"/>
        </w:numPr>
        <w:jc w:val="center"/>
        <w:rPr>
          <w:sz w:val="22"/>
        </w:rPr>
      </w:pPr>
    </w:p>
    <w:p w:rsidR="00E83821" w:rsidRDefault="00E83821" w:rsidP="00165432">
      <w:pPr>
        <w:pStyle w:val="Style1"/>
        <w:numPr>
          <w:ilvl w:val="0"/>
          <w:numId w:val="0"/>
        </w:numPr>
        <w:jc w:val="center"/>
        <w:rPr>
          <w:sz w:val="22"/>
        </w:rPr>
      </w:pPr>
    </w:p>
    <w:p w:rsidR="00E83821" w:rsidRDefault="00E83821" w:rsidP="00165432">
      <w:pPr>
        <w:pStyle w:val="Style1"/>
        <w:numPr>
          <w:ilvl w:val="0"/>
          <w:numId w:val="0"/>
        </w:numPr>
        <w:jc w:val="center"/>
        <w:rPr>
          <w:sz w:val="22"/>
        </w:rPr>
      </w:pPr>
    </w:p>
    <w:p w:rsidR="00E83821" w:rsidRDefault="00E83821" w:rsidP="00165432">
      <w:pPr>
        <w:pStyle w:val="Style1"/>
        <w:numPr>
          <w:ilvl w:val="0"/>
          <w:numId w:val="0"/>
        </w:numPr>
        <w:jc w:val="center"/>
        <w:rPr>
          <w:sz w:val="22"/>
        </w:rPr>
      </w:pPr>
    </w:p>
    <w:p w:rsidR="00E83821" w:rsidRDefault="00E83821" w:rsidP="00165432">
      <w:pPr>
        <w:pStyle w:val="Style1"/>
        <w:numPr>
          <w:ilvl w:val="0"/>
          <w:numId w:val="0"/>
        </w:numPr>
        <w:jc w:val="center"/>
        <w:rPr>
          <w:sz w:val="22"/>
        </w:rPr>
      </w:pPr>
    </w:p>
    <w:p w:rsidR="00D0271D" w:rsidRDefault="00D0271D" w:rsidP="00165432">
      <w:pPr>
        <w:pStyle w:val="Style1"/>
        <w:numPr>
          <w:ilvl w:val="0"/>
          <w:numId w:val="0"/>
        </w:numPr>
        <w:jc w:val="center"/>
        <w:rPr>
          <w:sz w:val="22"/>
        </w:rPr>
      </w:pPr>
      <w:r w:rsidRPr="00D0271D">
        <w:rPr>
          <w:sz w:val="22"/>
        </w:rPr>
        <w:t>Version 1.0</w:t>
      </w:r>
    </w:p>
    <w:p w:rsidR="00F91FF2" w:rsidRPr="00D0271D" w:rsidRDefault="00F91FF2" w:rsidP="00165432">
      <w:pPr>
        <w:pStyle w:val="Style1"/>
        <w:numPr>
          <w:ilvl w:val="0"/>
          <w:numId w:val="0"/>
        </w:numPr>
        <w:jc w:val="center"/>
        <w:rPr>
          <w:sz w:val="22"/>
        </w:rPr>
      </w:pPr>
    </w:p>
    <w:p w:rsidR="00F91FF2" w:rsidRDefault="00C43D55" w:rsidP="00165432">
      <w:pPr>
        <w:pStyle w:val="Style1"/>
        <w:numPr>
          <w:ilvl w:val="0"/>
          <w:numId w:val="0"/>
        </w:numPr>
        <w:jc w:val="center"/>
        <w:rPr>
          <w:sz w:val="22"/>
        </w:rPr>
      </w:pPr>
      <w:r>
        <w:rPr>
          <w:sz w:val="22"/>
        </w:rPr>
        <w:t>MK 1</w:t>
      </w:r>
      <w:r w:rsidR="005A2218">
        <w:rPr>
          <w:sz w:val="22"/>
        </w:rPr>
        <w:t>8</w:t>
      </w:r>
      <w:r>
        <w:rPr>
          <w:sz w:val="22"/>
        </w:rPr>
        <w:t>-10-17</w:t>
      </w:r>
    </w:p>
    <w:p w:rsidR="00F91FF2" w:rsidRDefault="00F91FF2">
      <w:pPr>
        <w:rPr>
          <w:rFonts w:eastAsiaTheme="majorEastAsia" w:cstheme="majorBidi"/>
          <w:b/>
          <w:bCs/>
          <w:color w:val="31849B" w:themeColor="accent5" w:themeShade="BF"/>
          <w:szCs w:val="26"/>
        </w:rPr>
      </w:pPr>
      <w:r>
        <w:br w:type="page"/>
      </w:r>
    </w:p>
    <w:p w:rsidR="00D0271D" w:rsidRDefault="00F91FF2" w:rsidP="00165432">
      <w:pPr>
        <w:pStyle w:val="Style1"/>
        <w:numPr>
          <w:ilvl w:val="0"/>
          <w:numId w:val="0"/>
        </w:numPr>
        <w:jc w:val="center"/>
        <w:rPr>
          <w:sz w:val="22"/>
        </w:rPr>
      </w:pPr>
      <w:r>
        <w:rPr>
          <w:sz w:val="22"/>
        </w:rPr>
        <w:lastRenderedPageBreak/>
        <w:t>NWIFCA M&amp;C Plan Version Control</w:t>
      </w:r>
    </w:p>
    <w:p w:rsidR="00F91FF2" w:rsidRDefault="00F91FF2" w:rsidP="00165432">
      <w:pPr>
        <w:pStyle w:val="Style1"/>
        <w:numPr>
          <w:ilvl w:val="0"/>
          <w:numId w:val="0"/>
        </w:numPr>
        <w:jc w:val="center"/>
        <w:rPr>
          <w:sz w:val="22"/>
        </w:rPr>
      </w:pPr>
    </w:p>
    <w:tbl>
      <w:tblPr>
        <w:tblStyle w:val="TableGrid"/>
        <w:tblpPr w:leftFromText="180" w:rightFromText="180" w:vertAnchor="page" w:horzAnchor="margin" w:tblpY="2261"/>
        <w:tblW w:w="0" w:type="auto"/>
        <w:tblLook w:val="04A0" w:firstRow="1" w:lastRow="0" w:firstColumn="1" w:lastColumn="0" w:noHBand="0" w:noVBand="1"/>
      </w:tblPr>
      <w:tblGrid>
        <w:gridCol w:w="1522"/>
        <w:gridCol w:w="5438"/>
        <w:gridCol w:w="3008"/>
      </w:tblGrid>
      <w:tr w:rsidR="00F91FF2" w:rsidTr="00D73BBB">
        <w:trPr>
          <w:trHeight w:val="436"/>
        </w:trPr>
        <w:tc>
          <w:tcPr>
            <w:tcW w:w="10576" w:type="dxa"/>
            <w:gridSpan w:val="3"/>
          </w:tcPr>
          <w:p w:rsidR="00F91FF2" w:rsidRDefault="00F91FF2" w:rsidP="00D73BBB">
            <w:pPr>
              <w:tabs>
                <w:tab w:val="left" w:pos="3611"/>
              </w:tabs>
              <w:rPr>
                <w:b/>
                <w:sz w:val="32"/>
                <w:szCs w:val="32"/>
              </w:rPr>
            </w:pPr>
            <w:r>
              <w:rPr>
                <w:b/>
                <w:sz w:val="32"/>
                <w:szCs w:val="32"/>
              </w:rPr>
              <w:t>History</w:t>
            </w:r>
          </w:p>
        </w:tc>
      </w:tr>
      <w:tr w:rsidR="00F91FF2" w:rsidRPr="003D7F3F" w:rsidTr="00D73BBB">
        <w:trPr>
          <w:trHeight w:val="436"/>
        </w:trPr>
        <w:tc>
          <w:tcPr>
            <w:tcW w:w="1572" w:type="dxa"/>
          </w:tcPr>
          <w:p w:rsidR="00F91FF2" w:rsidRPr="003D7F3F" w:rsidRDefault="00F91FF2" w:rsidP="00D73BBB">
            <w:pPr>
              <w:tabs>
                <w:tab w:val="left" w:pos="3611"/>
              </w:tabs>
              <w:rPr>
                <w:b/>
                <w:i/>
                <w:sz w:val="32"/>
                <w:szCs w:val="32"/>
              </w:rPr>
            </w:pPr>
            <w:r w:rsidRPr="003D7F3F">
              <w:rPr>
                <w:b/>
                <w:i/>
                <w:sz w:val="32"/>
                <w:szCs w:val="32"/>
              </w:rPr>
              <w:t>Date</w:t>
            </w:r>
          </w:p>
        </w:tc>
        <w:tc>
          <w:tcPr>
            <w:tcW w:w="5877" w:type="dxa"/>
          </w:tcPr>
          <w:p w:rsidR="00F91FF2" w:rsidRPr="003D7F3F" w:rsidRDefault="00F91FF2" w:rsidP="00D73BBB">
            <w:pPr>
              <w:tabs>
                <w:tab w:val="left" w:pos="3611"/>
              </w:tabs>
              <w:rPr>
                <w:b/>
                <w:i/>
                <w:sz w:val="32"/>
                <w:szCs w:val="32"/>
              </w:rPr>
            </w:pPr>
            <w:r>
              <w:rPr>
                <w:b/>
                <w:i/>
                <w:sz w:val="32"/>
                <w:szCs w:val="32"/>
              </w:rPr>
              <w:t>Details of Revision</w:t>
            </w:r>
          </w:p>
        </w:tc>
        <w:tc>
          <w:tcPr>
            <w:tcW w:w="3128" w:type="dxa"/>
          </w:tcPr>
          <w:p w:rsidR="00F91FF2" w:rsidRPr="003D7F3F" w:rsidRDefault="00F91FF2" w:rsidP="00D73BBB">
            <w:pPr>
              <w:tabs>
                <w:tab w:val="left" w:pos="3611"/>
              </w:tabs>
              <w:rPr>
                <w:b/>
                <w:i/>
                <w:sz w:val="32"/>
                <w:szCs w:val="32"/>
              </w:rPr>
            </w:pPr>
            <w:r>
              <w:rPr>
                <w:b/>
                <w:i/>
                <w:sz w:val="32"/>
                <w:szCs w:val="32"/>
              </w:rPr>
              <w:t>Contributors</w:t>
            </w:r>
          </w:p>
        </w:tc>
      </w:tr>
      <w:tr w:rsidR="00F91FF2" w:rsidRPr="003D7F3F" w:rsidTr="00D73BBB">
        <w:trPr>
          <w:trHeight w:val="597"/>
        </w:trPr>
        <w:tc>
          <w:tcPr>
            <w:tcW w:w="1572" w:type="dxa"/>
          </w:tcPr>
          <w:p w:rsidR="00F91FF2" w:rsidRPr="003D7F3F" w:rsidRDefault="005A2218" w:rsidP="00D73BBB">
            <w:pPr>
              <w:tabs>
                <w:tab w:val="left" w:pos="3611"/>
              </w:tabs>
            </w:pPr>
            <w:r>
              <w:t>18</w:t>
            </w:r>
            <w:r w:rsidR="00F91FF2">
              <w:t>/10/17</w:t>
            </w:r>
          </w:p>
        </w:tc>
        <w:tc>
          <w:tcPr>
            <w:tcW w:w="5877" w:type="dxa"/>
          </w:tcPr>
          <w:p w:rsidR="00F91FF2" w:rsidRPr="003D7F3F" w:rsidRDefault="00F91FF2" w:rsidP="00F91FF2">
            <w:pPr>
              <w:tabs>
                <w:tab w:val="left" w:pos="3611"/>
              </w:tabs>
            </w:pPr>
            <w:r>
              <w:t>Version (1) preliminary draft of Monitoring and Control Plan with tables to be further honed.</w:t>
            </w:r>
          </w:p>
        </w:tc>
        <w:tc>
          <w:tcPr>
            <w:tcW w:w="3128" w:type="dxa"/>
          </w:tcPr>
          <w:p w:rsidR="00F91FF2" w:rsidRPr="003D7F3F" w:rsidRDefault="00F91FF2" w:rsidP="00D73BBB">
            <w:pPr>
              <w:tabs>
                <w:tab w:val="left" w:pos="3611"/>
              </w:tabs>
            </w:pPr>
            <w:r>
              <w:t>MK</w:t>
            </w:r>
          </w:p>
        </w:tc>
      </w:tr>
      <w:tr w:rsidR="00F91FF2" w:rsidTr="00D73BBB">
        <w:trPr>
          <w:trHeight w:val="620"/>
        </w:trPr>
        <w:tc>
          <w:tcPr>
            <w:tcW w:w="1572" w:type="dxa"/>
          </w:tcPr>
          <w:p w:rsidR="00F91FF2" w:rsidRDefault="00F91FF2" w:rsidP="00D73BBB">
            <w:pPr>
              <w:tabs>
                <w:tab w:val="left" w:pos="3611"/>
              </w:tabs>
            </w:pPr>
          </w:p>
        </w:tc>
        <w:tc>
          <w:tcPr>
            <w:tcW w:w="5877" w:type="dxa"/>
          </w:tcPr>
          <w:p w:rsidR="00F91FF2" w:rsidRDefault="00F91FF2" w:rsidP="00D73BBB">
            <w:pPr>
              <w:tabs>
                <w:tab w:val="left" w:pos="3611"/>
              </w:tabs>
            </w:pPr>
          </w:p>
        </w:tc>
        <w:tc>
          <w:tcPr>
            <w:tcW w:w="3128" w:type="dxa"/>
          </w:tcPr>
          <w:p w:rsidR="00F91FF2" w:rsidRDefault="00F91FF2" w:rsidP="00D73BBB">
            <w:pPr>
              <w:tabs>
                <w:tab w:val="left" w:pos="3611"/>
              </w:tabs>
            </w:pPr>
          </w:p>
        </w:tc>
      </w:tr>
      <w:tr w:rsidR="00F91FF2" w:rsidTr="00D73BBB">
        <w:trPr>
          <w:trHeight w:val="299"/>
        </w:trPr>
        <w:tc>
          <w:tcPr>
            <w:tcW w:w="1572" w:type="dxa"/>
          </w:tcPr>
          <w:p w:rsidR="00F91FF2" w:rsidRDefault="00F91FF2" w:rsidP="00D73BBB">
            <w:pPr>
              <w:tabs>
                <w:tab w:val="left" w:pos="3611"/>
              </w:tabs>
            </w:pPr>
          </w:p>
        </w:tc>
        <w:tc>
          <w:tcPr>
            <w:tcW w:w="5877" w:type="dxa"/>
          </w:tcPr>
          <w:p w:rsidR="00F91FF2" w:rsidRDefault="00F91FF2" w:rsidP="00D73BBB">
            <w:pPr>
              <w:tabs>
                <w:tab w:val="left" w:pos="3611"/>
              </w:tabs>
            </w:pPr>
          </w:p>
        </w:tc>
        <w:tc>
          <w:tcPr>
            <w:tcW w:w="3128" w:type="dxa"/>
          </w:tcPr>
          <w:p w:rsidR="00F91FF2" w:rsidRDefault="00F91FF2" w:rsidP="00D73BBB">
            <w:pPr>
              <w:tabs>
                <w:tab w:val="left" w:pos="3611"/>
              </w:tabs>
            </w:pPr>
          </w:p>
        </w:tc>
      </w:tr>
    </w:tbl>
    <w:p w:rsidR="00794F06" w:rsidRDefault="00794F06" w:rsidP="00165432">
      <w:pPr>
        <w:pStyle w:val="Style1"/>
        <w:numPr>
          <w:ilvl w:val="0"/>
          <w:numId w:val="0"/>
        </w:numPr>
        <w:jc w:val="center"/>
        <w:rPr>
          <w:sz w:val="22"/>
        </w:rPr>
      </w:pPr>
    </w:p>
    <w:p w:rsidR="00794F06" w:rsidRDefault="00794F06">
      <w:pPr>
        <w:rPr>
          <w:rFonts w:eastAsiaTheme="majorEastAsia" w:cstheme="majorBidi"/>
          <w:b/>
          <w:bCs/>
          <w:color w:val="31849B" w:themeColor="accent5" w:themeShade="BF"/>
          <w:szCs w:val="26"/>
        </w:rPr>
      </w:pPr>
      <w:r>
        <w:br w:type="page"/>
      </w:r>
    </w:p>
    <w:p w:rsidR="00E807C3" w:rsidRPr="00E83821" w:rsidRDefault="00993260" w:rsidP="00165432">
      <w:pPr>
        <w:pStyle w:val="Title"/>
        <w:pageBreakBefore/>
        <w:jc w:val="both"/>
        <w:rPr>
          <w:rFonts w:asciiTheme="minorHAnsi" w:hAnsiTheme="minorHAnsi"/>
          <w:b/>
          <w:color w:val="31849B" w:themeColor="accent5" w:themeShade="BF"/>
          <w:sz w:val="36"/>
          <w:szCs w:val="36"/>
        </w:rPr>
      </w:pPr>
      <w:r w:rsidRPr="00E83821">
        <w:rPr>
          <w:rFonts w:asciiTheme="minorHAnsi" w:hAnsiTheme="minorHAnsi"/>
          <w:b/>
          <w:color w:val="31849B" w:themeColor="accent5" w:themeShade="BF"/>
          <w:sz w:val="36"/>
          <w:szCs w:val="36"/>
        </w:rPr>
        <w:lastRenderedPageBreak/>
        <w:t xml:space="preserve">NWIFCA </w:t>
      </w:r>
      <w:r w:rsidR="00C35BE6">
        <w:rPr>
          <w:rFonts w:asciiTheme="minorHAnsi" w:hAnsiTheme="minorHAnsi"/>
          <w:b/>
          <w:color w:val="31849B" w:themeColor="accent5" w:themeShade="BF"/>
          <w:sz w:val="36"/>
          <w:szCs w:val="36"/>
        </w:rPr>
        <w:t xml:space="preserve">MPA </w:t>
      </w:r>
      <w:r w:rsidR="00C43D55" w:rsidRPr="00E83821">
        <w:rPr>
          <w:rFonts w:asciiTheme="minorHAnsi" w:hAnsiTheme="minorHAnsi"/>
          <w:b/>
          <w:color w:val="31849B" w:themeColor="accent5" w:themeShade="BF"/>
          <w:sz w:val="36"/>
          <w:szCs w:val="36"/>
        </w:rPr>
        <w:t>Fisheries Monitoring and Control Plan</w:t>
      </w:r>
    </w:p>
    <w:p w:rsidR="00FB6AE5" w:rsidRDefault="00FB6AE5" w:rsidP="00165432">
      <w:pPr>
        <w:pStyle w:val="Style1"/>
        <w:jc w:val="both"/>
      </w:pPr>
      <w:r w:rsidRPr="00454099">
        <w:t>Introduction</w:t>
      </w:r>
    </w:p>
    <w:p w:rsidR="00E83821" w:rsidRDefault="00E83821" w:rsidP="00E83821">
      <w:pPr>
        <w:pStyle w:val="Default"/>
        <w:ind w:left="357" w:hanging="357"/>
        <w:rPr>
          <w:rFonts w:asciiTheme="minorHAnsi" w:hAnsiTheme="minorHAnsi" w:cstheme="minorBidi"/>
          <w:color w:val="auto"/>
          <w:sz w:val="22"/>
          <w:szCs w:val="22"/>
        </w:rPr>
      </w:pPr>
      <w:r>
        <w:rPr>
          <w:rFonts w:asciiTheme="minorHAnsi" w:hAnsiTheme="minorHAnsi" w:cstheme="minorBidi"/>
          <w:color w:val="auto"/>
          <w:sz w:val="22"/>
          <w:szCs w:val="22"/>
        </w:rPr>
        <w:tab/>
      </w:r>
    </w:p>
    <w:p w:rsidR="009D508C" w:rsidRPr="009D508C" w:rsidRDefault="009D508C" w:rsidP="00E83821">
      <w:pPr>
        <w:pStyle w:val="Default"/>
        <w:ind w:left="357" w:hanging="357"/>
        <w:rPr>
          <w:rFonts w:asciiTheme="minorHAnsi" w:hAnsiTheme="minorHAnsi"/>
          <w:b/>
          <w:color w:val="auto"/>
          <w:sz w:val="22"/>
          <w:szCs w:val="22"/>
        </w:rPr>
      </w:pPr>
      <w:r w:rsidRPr="009D508C">
        <w:rPr>
          <w:rFonts w:asciiTheme="minorHAnsi" w:hAnsiTheme="minorHAnsi"/>
          <w:b/>
          <w:color w:val="auto"/>
          <w:sz w:val="22"/>
          <w:szCs w:val="22"/>
        </w:rPr>
        <w:t>1.1</w:t>
      </w:r>
      <w:r w:rsidRPr="009D508C">
        <w:rPr>
          <w:rFonts w:asciiTheme="minorHAnsi" w:hAnsiTheme="minorHAnsi"/>
          <w:b/>
          <w:color w:val="auto"/>
          <w:sz w:val="22"/>
          <w:szCs w:val="22"/>
        </w:rPr>
        <w:tab/>
        <w:t>European Sites</w:t>
      </w:r>
    </w:p>
    <w:p w:rsidR="009D508C" w:rsidRPr="009D508C" w:rsidRDefault="009D508C" w:rsidP="00E83821">
      <w:pPr>
        <w:pStyle w:val="Default"/>
        <w:ind w:left="357" w:hanging="357"/>
        <w:rPr>
          <w:rFonts w:asciiTheme="minorHAnsi" w:hAnsiTheme="minorHAnsi" w:cstheme="minorBidi"/>
          <w:color w:val="auto"/>
          <w:sz w:val="22"/>
          <w:szCs w:val="22"/>
        </w:rPr>
      </w:pPr>
    </w:p>
    <w:p w:rsidR="00E83821" w:rsidRPr="009D508C" w:rsidRDefault="009D508C" w:rsidP="009D508C">
      <w:pPr>
        <w:pStyle w:val="Default"/>
        <w:ind w:left="357" w:hanging="357"/>
        <w:jc w:val="both"/>
        <w:rPr>
          <w:rFonts w:asciiTheme="minorHAnsi" w:hAnsiTheme="minorHAnsi"/>
          <w:sz w:val="22"/>
          <w:szCs w:val="22"/>
        </w:rPr>
      </w:pPr>
      <w:r>
        <w:rPr>
          <w:rFonts w:asciiTheme="minorHAnsi" w:hAnsiTheme="minorHAnsi"/>
          <w:sz w:val="22"/>
          <w:szCs w:val="22"/>
        </w:rPr>
        <w:tab/>
      </w:r>
      <w:r w:rsidR="00E83821" w:rsidRPr="009D508C">
        <w:rPr>
          <w:rFonts w:asciiTheme="minorHAnsi" w:hAnsiTheme="minorHAnsi"/>
          <w:sz w:val="22"/>
          <w:szCs w:val="22"/>
        </w:rPr>
        <w:t xml:space="preserve">In 2012, the Department for Environment, Food and Rural Affairs (Defra) announced a revised approach to the management of commercial fisheries in European Marine Sites (EMS). The objective of this revised approach is to ensure that all existing and potential commercial fishing activities are managed in accordance with Article 6 of the Habitats Directive. </w:t>
      </w:r>
    </w:p>
    <w:p w:rsidR="009D508C" w:rsidRPr="009D508C" w:rsidRDefault="009D508C" w:rsidP="009D508C">
      <w:pPr>
        <w:pStyle w:val="Default"/>
        <w:ind w:left="357" w:hanging="357"/>
        <w:jc w:val="both"/>
        <w:rPr>
          <w:rFonts w:asciiTheme="minorHAnsi" w:hAnsiTheme="minorHAnsi"/>
          <w:sz w:val="22"/>
          <w:szCs w:val="22"/>
        </w:rPr>
      </w:pPr>
    </w:p>
    <w:p w:rsidR="00E83821" w:rsidRDefault="00B64C27" w:rsidP="00B64C27">
      <w:pPr>
        <w:pStyle w:val="Default"/>
        <w:ind w:left="357" w:hanging="357"/>
        <w:jc w:val="both"/>
        <w:rPr>
          <w:rFonts w:asciiTheme="minorHAnsi" w:hAnsiTheme="minorHAnsi"/>
          <w:sz w:val="22"/>
          <w:szCs w:val="22"/>
        </w:rPr>
      </w:pPr>
      <w:r>
        <w:rPr>
          <w:rFonts w:asciiTheme="minorHAnsi" w:hAnsiTheme="minorHAnsi"/>
          <w:sz w:val="22"/>
          <w:szCs w:val="22"/>
        </w:rPr>
        <w:tab/>
      </w:r>
      <w:r w:rsidR="00E83821" w:rsidRPr="009D508C">
        <w:rPr>
          <w:rFonts w:asciiTheme="minorHAnsi" w:hAnsiTheme="minorHAnsi"/>
          <w:sz w:val="22"/>
          <w:szCs w:val="22"/>
        </w:rPr>
        <w:t xml:space="preserve">This approach </w:t>
      </w:r>
      <w:r w:rsidR="009D508C">
        <w:rPr>
          <w:rFonts w:asciiTheme="minorHAnsi" w:hAnsiTheme="minorHAnsi"/>
          <w:sz w:val="22"/>
          <w:szCs w:val="22"/>
        </w:rPr>
        <w:t>has been</w:t>
      </w:r>
      <w:r w:rsidR="00E83821" w:rsidRPr="009D508C">
        <w:rPr>
          <w:rFonts w:asciiTheme="minorHAnsi" w:hAnsiTheme="minorHAnsi"/>
          <w:sz w:val="22"/>
          <w:szCs w:val="22"/>
        </w:rPr>
        <w:t xml:space="preserve"> implemented using an evidence based, risk-prioritised, and phased basis. Risk prioritisation </w:t>
      </w:r>
      <w:r w:rsidR="009D508C">
        <w:rPr>
          <w:rFonts w:asciiTheme="minorHAnsi" w:hAnsiTheme="minorHAnsi"/>
          <w:sz w:val="22"/>
          <w:szCs w:val="22"/>
        </w:rPr>
        <w:t>was</w:t>
      </w:r>
      <w:r w:rsidR="00E83821" w:rsidRPr="009D508C">
        <w:rPr>
          <w:rFonts w:asciiTheme="minorHAnsi" w:hAnsiTheme="minorHAnsi"/>
          <w:sz w:val="22"/>
          <w:szCs w:val="22"/>
        </w:rPr>
        <w:t xml:space="preserve"> informed by using a matrix of the generic sensi</w:t>
      </w:r>
      <w:r w:rsidR="009D508C">
        <w:rPr>
          <w:rFonts w:asciiTheme="minorHAnsi" w:hAnsiTheme="minorHAnsi"/>
          <w:sz w:val="22"/>
          <w:szCs w:val="22"/>
        </w:rPr>
        <w:t>tivity of the sub-features of EM</w:t>
      </w:r>
      <w:r w:rsidR="00E83821" w:rsidRPr="009D508C">
        <w:rPr>
          <w:rFonts w:asciiTheme="minorHAnsi" w:hAnsiTheme="minorHAnsi"/>
          <w:sz w:val="22"/>
          <w:szCs w:val="22"/>
        </w:rPr>
        <w:t xml:space="preserve">S to a suite of fishing activities as a decision making tool. These sub-feature-activity combinations </w:t>
      </w:r>
      <w:r w:rsidR="009D508C">
        <w:rPr>
          <w:rFonts w:asciiTheme="minorHAnsi" w:hAnsiTheme="minorHAnsi"/>
          <w:sz w:val="22"/>
          <w:szCs w:val="22"/>
        </w:rPr>
        <w:t>were</w:t>
      </w:r>
      <w:r w:rsidR="00E83821" w:rsidRPr="009D508C">
        <w:rPr>
          <w:rFonts w:asciiTheme="minorHAnsi" w:hAnsiTheme="minorHAnsi"/>
          <w:sz w:val="22"/>
          <w:szCs w:val="22"/>
        </w:rPr>
        <w:t xml:space="preserve"> categorised according to specific definitions, as red, amber, green or blue.</w:t>
      </w:r>
      <w:r w:rsidR="005A2218">
        <w:rPr>
          <w:rFonts w:asciiTheme="minorHAnsi" w:hAnsiTheme="minorHAnsi"/>
          <w:sz w:val="22"/>
          <w:szCs w:val="22"/>
        </w:rPr>
        <w:t xml:space="preserve"> </w:t>
      </w:r>
      <w:r w:rsidR="00E83821" w:rsidRPr="009D508C">
        <w:rPr>
          <w:rFonts w:asciiTheme="minorHAnsi" w:hAnsiTheme="minorHAnsi"/>
          <w:sz w:val="22"/>
          <w:szCs w:val="22"/>
        </w:rPr>
        <w:t xml:space="preserve">Activity/feature interactions identified within the matrix as red risk </w:t>
      </w:r>
      <w:r w:rsidR="009D508C">
        <w:rPr>
          <w:rFonts w:asciiTheme="minorHAnsi" w:hAnsiTheme="minorHAnsi"/>
          <w:sz w:val="22"/>
          <w:szCs w:val="22"/>
        </w:rPr>
        <w:t>had</w:t>
      </w:r>
      <w:r w:rsidR="00E83821" w:rsidRPr="009D508C">
        <w:rPr>
          <w:rFonts w:asciiTheme="minorHAnsi" w:hAnsiTheme="minorHAnsi"/>
          <w:sz w:val="22"/>
          <w:szCs w:val="22"/>
        </w:rPr>
        <w:t xml:space="preserve"> the highest priority for implementation of management measures by the end of 2013 in order to avoid the deterioration of Annex I features in line with obligations under Article 6(2) of the Habitats Directive. </w:t>
      </w:r>
      <w:r w:rsidR="005A2218">
        <w:rPr>
          <w:rFonts w:asciiTheme="minorHAnsi" w:hAnsiTheme="minorHAnsi"/>
          <w:sz w:val="22"/>
          <w:szCs w:val="22"/>
        </w:rPr>
        <w:t xml:space="preserve"> </w:t>
      </w:r>
      <w:r w:rsidR="00E83821" w:rsidRPr="009D508C">
        <w:rPr>
          <w:rFonts w:asciiTheme="minorHAnsi" w:hAnsiTheme="minorHAnsi"/>
          <w:sz w:val="22"/>
          <w:szCs w:val="22"/>
        </w:rPr>
        <w:t>Activity/feature interactions identified within the matrix as amber risk require</w:t>
      </w:r>
      <w:r w:rsidR="009D508C">
        <w:rPr>
          <w:rFonts w:asciiTheme="minorHAnsi" w:hAnsiTheme="minorHAnsi"/>
          <w:sz w:val="22"/>
          <w:szCs w:val="22"/>
        </w:rPr>
        <w:t>d</w:t>
      </w:r>
      <w:r w:rsidR="00E83821" w:rsidRPr="009D508C">
        <w:rPr>
          <w:rFonts w:asciiTheme="minorHAnsi" w:hAnsiTheme="minorHAnsi"/>
          <w:sz w:val="22"/>
          <w:szCs w:val="22"/>
        </w:rPr>
        <w:t xml:space="preserve"> a site-level assessment to determine whether management of an activity </w:t>
      </w:r>
      <w:r w:rsidR="009D508C">
        <w:rPr>
          <w:rFonts w:asciiTheme="minorHAnsi" w:hAnsiTheme="minorHAnsi"/>
          <w:sz w:val="22"/>
          <w:szCs w:val="22"/>
        </w:rPr>
        <w:t>was</w:t>
      </w:r>
      <w:r w:rsidR="00E83821" w:rsidRPr="009D508C">
        <w:rPr>
          <w:rFonts w:asciiTheme="minorHAnsi" w:hAnsiTheme="minorHAnsi"/>
          <w:sz w:val="22"/>
          <w:szCs w:val="22"/>
        </w:rPr>
        <w:t xml:space="preserve"> required to conserve site features. Activity/feature interactions identified within the matrix as green also require</w:t>
      </w:r>
      <w:r w:rsidR="009D508C">
        <w:rPr>
          <w:rFonts w:asciiTheme="minorHAnsi" w:hAnsiTheme="minorHAnsi"/>
          <w:sz w:val="22"/>
          <w:szCs w:val="22"/>
        </w:rPr>
        <w:t>d</w:t>
      </w:r>
      <w:r w:rsidR="00E83821" w:rsidRPr="009D508C">
        <w:rPr>
          <w:rFonts w:asciiTheme="minorHAnsi" w:hAnsiTheme="minorHAnsi"/>
          <w:sz w:val="22"/>
          <w:szCs w:val="22"/>
        </w:rPr>
        <w:t xml:space="preserve"> a site level assessment if there are “in combination effects” with other plans or projects. </w:t>
      </w:r>
    </w:p>
    <w:p w:rsidR="009D508C" w:rsidRPr="009D508C" w:rsidRDefault="009D508C" w:rsidP="00B64C27">
      <w:pPr>
        <w:pStyle w:val="Default"/>
        <w:ind w:left="357" w:hanging="357"/>
        <w:jc w:val="both"/>
        <w:rPr>
          <w:rFonts w:asciiTheme="minorHAnsi" w:hAnsiTheme="minorHAnsi"/>
          <w:sz w:val="22"/>
          <w:szCs w:val="22"/>
        </w:rPr>
      </w:pPr>
    </w:p>
    <w:p w:rsidR="00E83821" w:rsidRPr="009D508C" w:rsidRDefault="00B64C27" w:rsidP="00B64C27">
      <w:pPr>
        <w:ind w:left="357" w:hanging="357"/>
        <w:jc w:val="both"/>
      </w:pPr>
      <w:r>
        <w:tab/>
      </w:r>
      <w:r w:rsidR="00E83821" w:rsidRPr="009D508C">
        <w:t>Some European Sites within the NWIFCA District consist of features that are not fully marine (</w:t>
      </w:r>
      <w:proofErr w:type="spellStart"/>
      <w:r w:rsidR="00E83821" w:rsidRPr="009D508C">
        <w:t>eg</w:t>
      </w:r>
      <w:proofErr w:type="spellEnd"/>
      <w:r w:rsidR="00E83821" w:rsidRPr="009D508C">
        <w:t xml:space="preserve">. sand dunes) and therefore fall </w:t>
      </w:r>
      <w:proofErr w:type="spellStart"/>
      <w:r w:rsidR="00E83821" w:rsidRPr="009D508C">
        <w:t>outwith</w:t>
      </w:r>
      <w:proofErr w:type="spellEnd"/>
      <w:r w:rsidR="00E83821" w:rsidRPr="009D508C">
        <w:t xml:space="preserve"> of the EMS Review process. They </w:t>
      </w:r>
      <w:r w:rsidR="009D508C">
        <w:t>were</w:t>
      </w:r>
      <w:r w:rsidR="00E83821" w:rsidRPr="009D508C">
        <w:t xml:space="preserve"> been included in the original risk matrix. Due to the nature of some of the fisheries in the </w:t>
      </w:r>
      <w:r w:rsidR="009D508C">
        <w:t xml:space="preserve">NWIFCA </w:t>
      </w:r>
      <w:r w:rsidR="00E83821" w:rsidRPr="009D508C">
        <w:t xml:space="preserve">District, particularly intertidal fisheries, the NWIFCA adopted the approach of carrying out full HRA on all the features (including non-marine) within European Sites to ensure that any potential risk from fishing activity </w:t>
      </w:r>
      <w:r w:rsidR="009D508C">
        <w:t>was</w:t>
      </w:r>
      <w:r w:rsidR="00E83821" w:rsidRPr="009D508C">
        <w:t xml:space="preserve"> identified and assessed.</w:t>
      </w:r>
    </w:p>
    <w:p w:rsidR="009D508C" w:rsidRDefault="00B64C27" w:rsidP="00B64C27">
      <w:pPr>
        <w:pStyle w:val="Default"/>
        <w:ind w:left="357" w:hanging="357"/>
        <w:jc w:val="both"/>
        <w:rPr>
          <w:rFonts w:asciiTheme="minorHAnsi" w:hAnsiTheme="minorHAnsi"/>
          <w:sz w:val="22"/>
          <w:szCs w:val="22"/>
        </w:rPr>
      </w:pPr>
      <w:r>
        <w:rPr>
          <w:rFonts w:asciiTheme="minorHAnsi" w:hAnsiTheme="minorHAnsi"/>
          <w:sz w:val="22"/>
          <w:szCs w:val="22"/>
        </w:rPr>
        <w:tab/>
      </w:r>
      <w:r w:rsidR="00E83821" w:rsidRPr="009D508C">
        <w:rPr>
          <w:rFonts w:asciiTheme="minorHAnsi" w:hAnsiTheme="minorHAnsi"/>
          <w:sz w:val="22"/>
          <w:szCs w:val="22"/>
        </w:rPr>
        <w:t xml:space="preserve">Site level assessments </w:t>
      </w:r>
      <w:r w:rsidR="009D508C">
        <w:rPr>
          <w:rFonts w:asciiTheme="minorHAnsi" w:hAnsiTheme="minorHAnsi"/>
          <w:sz w:val="22"/>
          <w:szCs w:val="22"/>
        </w:rPr>
        <w:t>were</w:t>
      </w:r>
      <w:r w:rsidR="00E83821" w:rsidRPr="009D508C">
        <w:rPr>
          <w:rFonts w:asciiTheme="minorHAnsi" w:hAnsiTheme="minorHAnsi"/>
          <w:sz w:val="22"/>
          <w:szCs w:val="22"/>
        </w:rPr>
        <w:t xml:space="preserve"> carried out in a manner consistent with the provisions of Article 6(3) of the Habitats Directive, that is to determine that fishing activities are not having an adverse effect on the integrity of the site, to inform a judgement on whether or not appropriate steps are required to avoid the deterioration of natural habitats and the habitats of species as well as disturbances of the species for which the areas have been designated, in so far as such disturbance could be significant in relation to the objectives of this directive. </w:t>
      </w:r>
    </w:p>
    <w:p w:rsidR="006B4263" w:rsidRDefault="006B4263" w:rsidP="00B64C27">
      <w:pPr>
        <w:pStyle w:val="Default"/>
        <w:ind w:left="357" w:hanging="357"/>
        <w:jc w:val="both"/>
        <w:rPr>
          <w:rFonts w:asciiTheme="minorHAnsi" w:hAnsiTheme="minorHAnsi"/>
          <w:sz w:val="22"/>
          <w:szCs w:val="22"/>
        </w:rPr>
      </w:pPr>
    </w:p>
    <w:p w:rsidR="006B4263" w:rsidRDefault="006B4263" w:rsidP="00B64C27">
      <w:pPr>
        <w:pStyle w:val="Default"/>
        <w:ind w:left="357" w:hanging="357"/>
        <w:jc w:val="both"/>
        <w:rPr>
          <w:rFonts w:asciiTheme="minorHAnsi" w:hAnsiTheme="minorHAnsi"/>
          <w:sz w:val="22"/>
          <w:szCs w:val="22"/>
        </w:rPr>
      </w:pPr>
      <w:r>
        <w:rPr>
          <w:rFonts w:asciiTheme="minorHAnsi" w:hAnsiTheme="minorHAnsi"/>
          <w:sz w:val="22"/>
          <w:szCs w:val="22"/>
        </w:rPr>
        <w:tab/>
      </w:r>
      <w:r w:rsidRPr="006B4263">
        <w:rPr>
          <w:rFonts w:asciiTheme="minorHAnsi" w:hAnsiTheme="minorHAnsi"/>
          <w:sz w:val="22"/>
          <w:szCs w:val="22"/>
        </w:rPr>
        <w:t xml:space="preserve">If measures </w:t>
      </w:r>
      <w:r>
        <w:rPr>
          <w:rFonts w:asciiTheme="minorHAnsi" w:hAnsiTheme="minorHAnsi"/>
          <w:sz w:val="22"/>
          <w:szCs w:val="22"/>
        </w:rPr>
        <w:t>were</w:t>
      </w:r>
      <w:r w:rsidRPr="006B4263">
        <w:rPr>
          <w:rFonts w:asciiTheme="minorHAnsi" w:hAnsiTheme="minorHAnsi"/>
          <w:sz w:val="22"/>
          <w:szCs w:val="22"/>
        </w:rPr>
        <w:t xml:space="preserve"> require</w:t>
      </w:r>
      <w:r>
        <w:rPr>
          <w:rFonts w:asciiTheme="minorHAnsi" w:hAnsiTheme="minorHAnsi"/>
          <w:sz w:val="22"/>
          <w:szCs w:val="22"/>
        </w:rPr>
        <w:t>d, the revised approach required</w:t>
      </w:r>
      <w:r w:rsidRPr="006B4263">
        <w:rPr>
          <w:rFonts w:asciiTheme="minorHAnsi" w:hAnsiTheme="minorHAnsi"/>
          <w:sz w:val="22"/>
          <w:szCs w:val="22"/>
        </w:rPr>
        <w:t xml:space="preserve"> these to be implemented by the end of 2016.</w:t>
      </w:r>
    </w:p>
    <w:p w:rsidR="009D508C" w:rsidRDefault="009D508C" w:rsidP="009D508C">
      <w:pPr>
        <w:pStyle w:val="Default"/>
        <w:ind w:firstLine="357"/>
        <w:jc w:val="both"/>
        <w:rPr>
          <w:rFonts w:asciiTheme="minorHAnsi" w:hAnsiTheme="minorHAnsi"/>
          <w:sz w:val="22"/>
          <w:szCs w:val="22"/>
        </w:rPr>
      </w:pPr>
    </w:p>
    <w:p w:rsidR="009D508C" w:rsidRDefault="009D508C" w:rsidP="009D508C">
      <w:pPr>
        <w:pStyle w:val="Default"/>
        <w:jc w:val="both"/>
        <w:rPr>
          <w:rFonts w:asciiTheme="minorHAnsi" w:hAnsiTheme="minorHAnsi"/>
          <w:b/>
          <w:sz w:val="22"/>
          <w:szCs w:val="22"/>
        </w:rPr>
      </w:pPr>
      <w:proofErr w:type="gramStart"/>
      <w:r w:rsidRPr="009D508C">
        <w:rPr>
          <w:rFonts w:asciiTheme="minorHAnsi" w:hAnsiTheme="minorHAnsi"/>
          <w:b/>
          <w:sz w:val="22"/>
          <w:szCs w:val="22"/>
        </w:rPr>
        <w:t>1.2  Marine</w:t>
      </w:r>
      <w:proofErr w:type="gramEnd"/>
      <w:r w:rsidRPr="009D508C">
        <w:rPr>
          <w:rFonts w:asciiTheme="minorHAnsi" w:hAnsiTheme="minorHAnsi"/>
          <w:b/>
          <w:sz w:val="22"/>
          <w:szCs w:val="22"/>
        </w:rPr>
        <w:t xml:space="preserve"> Conservation Zones</w:t>
      </w:r>
      <w:r w:rsidR="00301373">
        <w:rPr>
          <w:rFonts w:asciiTheme="minorHAnsi" w:hAnsiTheme="minorHAnsi"/>
          <w:b/>
          <w:sz w:val="22"/>
          <w:szCs w:val="22"/>
        </w:rPr>
        <w:t xml:space="preserve"> (MCZ)</w:t>
      </w:r>
    </w:p>
    <w:p w:rsidR="00B64C27" w:rsidRDefault="00B64C27" w:rsidP="009D508C">
      <w:pPr>
        <w:pStyle w:val="Default"/>
        <w:jc w:val="both"/>
        <w:rPr>
          <w:rFonts w:asciiTheme="minorHAnsi" w:hAnsiTheme="minorHAnsi"/>
          <w:b/>
          <w:sz w:val="22"/>
          <w:szCs w:val="22"/>
        </w:rPr>
      </w:pPr>
    </w:p>
    <w:p w:rsidR="00B64C27" w:rsidRDefault="0069183C" w:rsidP="00301373">
      <w:pPr>
        <w:tabs>
          <w:tab w:val="left" w:pos="3611"/>
        </w:tabs>
        <w:ind w:left="357" w:hanging="357"/>
        <w:jc w:val="both"/>
      </w:pPr>
      <w:r>
        <w:tab/>
      </w:r>
      <w:r w:rsidR="00301373">
        <w:t xml:space="preserve">The UK government has designated four Marine Conservation Zones in the NWIFCA District under the Marine and Coastal Access Act 2009 (MACA 2009) since 2013. </w:t>
      </w:r>
      <w:r>
        <w:t xml:space="preserve">Individual </w:t>
      </w:r>
      <w:r w:rsidR="00301373">
        <w:t xml:space="preserve">MCZ </w:t>
      </w:r>
      <w:r>
        <w:t>site assessments will be carried out for fishing activity within the</w:t>
      </w:r>
      <w:r w:rsidR="00301373">
        <w:t>se</w:t>
      </w:r>
      <w:r>
        <w:t xml:space="preserve"> four designated MCZs, </w:t>
      </w:r>
      <w:r w:rsidR="00B64C27">
        <w:t xml:space="preserve">to document and determine whether management measures are required to further the conservation objectives of the Marine Conservation Zone (MCZ). The </w:t>
      </w:r>
      <w:r>
        <w:t>IFCA’s</w:t>
      </w:r>
      <w:r w:rsidR="00B64C27">
        <w:t xml:space="preserve"> responsibilities in relation to management of MCZs </w:t>
      </w:r>
      <w:r w:rsidR="005A2218">
        <w:t xml:space="preserve">fall within the 6nm area and </w:t>
      </w:r>
      <w:r w:rsidR="00B64C27">
        <w:t xml:space="preserve">are laid out in the </w:t>
      </w:r>
      <w:r w:rsidR="00301373">
        <w:t>MACA</w:t>
      </w:r>
      <w:r w:rsidR="00B64C27">
        <w:t xml:space="preserve"> 2009.</w:t>
      </w:r>
      <w:r w:rsidR="005A2218">
        <w:t xml:space="preserve"> MMO is responsible for MCZ management beyond 6nm. In straddling sites the two regulators work together, with MMO taking the lead, and responsible for the assessments with IFCA activity data.</w:t>
      </w:r>
      <w:r w:rsidR="00D40BD4">
        <w:t xml:space="preserve"> </w:t>
      </w:r>
      <w:r w:rsidR="00D40BD4" w:rsidRPr="00D40BD4">
        <w:t xml:space="preserve">Any change in activity levels </w:t>
      </w:r>
      <w:r w:rsidR="00D40BD4">
        <w:t>will</w:t>
      </w:r>
      <w:r w:rsidR="00D40BD4" w:rsidRPr="00D40BD4">
        <w:t xml:space="preserve"> be reported to MMO</w:t>
      </w:r>
    </w:p>
    <w:p w:rsidR="006B4263" w:rsidRPr="006B4263" w:rsidRDefault="006B4263" w:rsidP="00301373">
      <w:pPr>
        <w:tabs>
          <w:tab w:val="left" w:pos="3611"/>
        </w:tabs>
        <w:ind w:left="357" w:hanging="357"/>
        <w:jc w:val="both"/>
        <w:rPr>
          <w:b/>
          <w:color w:val="31849B" w:themeColor="accent5" w:themeShade="BF"/>
          <w:sz w:val="26"/>
          <w:szCs w:val="26"/>
        </w:rPr>
      </w:pPr>
      <w:r w:rsidRPr="006B4263">
        <w:rPr>
          <w:b/>
          <w:color w:val="31849B" w:themeColor="accent5" w:themeShade="BF"/>
          <w:sz w:val="26"/>
          <w:szCs w:val="26"/>
        </w:rPr>
        <w:lastRenderedPageBreak/>
        <w:t>2.</w:t>
      </w:r>
      <w:r w:rsidRPr="006B4263">
        <w:rPr>
          <w:b/>
          <w:color w:val="31849B" w:themeColor="accent5" w:themeShade="BF"/>
          <w:sz w:val="26"/>
          <w:szCs w:val="26"/>
        </w:rPr>
        <w:tab/>
        <w:t>Need for M&amp;C Plan</w:t>
      </w:r>
    </w:p>
    <w:p w:rsidR="00092550" w:rsidRDefault="006B4263" w:rsidP="006B4263">
      <w:pPr>
        <w:ind w:left="357" w:hanging="357"/>
        <w:jc w:val="both"/>
      </w:pPr>
      <w:r>
        <w:tab/>
        <w:t xml:space="preserve">In order to have full confidence in </w:t>
      </w:r>
      <w:r w:rsidR="00956065">
        <w:t>the management of fishing activity within MPAs providing the optimum protection to features and site</w:t>
      </w:r>
      <w:r w:rsidR="005A2218">
        <w:t>s</w:t>
      </w:r>
      <w:r w:rsidR="00956065">
        <w:t xml:space="preserve">, it is necessary to </w:t>
      </w:r>
      <w:r w:rsidR="008C6CD9">
        <w:t xml:space="preserve">continuously </w:t>
      </w:r>
      <w:r w:rsidR="00956065">
        <w:t xml:space="preserve">monitor </w:t>
      </w:r>
      <w:r w:rsidR="008C6CD9">
        <w:t xml:space="preserve">for </w:t>
      </w:r>
      <w:r w:rsidR="007E71DE">
        <w:t xml:space="preserve">accuracy of data and </w:t>
      </w:r>
      <w:r w:rsidR="008C6CD9">
        <w:t>change</w:t>
      </w:r>
      <w:r w:rsidR="00095C30">
        <w:t xml:space="preserve">. It is also a prerequisite </w:t>
      </w:r>
      <w:r w:rsidR="007E71DE">
        <w:t xml:space="preserve">to </w:t>
      </w:r>
      <w:r w:rsidR="008C6CD9">
        <w:t xml:space="preserve">have a mechanism for </w:t>
      </w:r>
      <w:r w:rsidR="007E71DE">
        <w:t xml:space="preserve">control, including detection of </w:t>
      </w:r>
      <w:r w:rsidR="007E71DE" w:rsidRPr="007E71DE">
        <w:t>brea</w:t>
      </w:r>
      <w:r w:rsidR="007E71DE">
        <w:t xml:space="preserve">ches in management, enforcement, </w:t>
      </w:r>
      <w:proofErr w:type="gramStart"/>
      <w:r w:rsidR="008C6CD9">
        <w:t>quick</w:t>
      </w:r>
      <w:proofErr w:type="gramEnd"/>
      <w:r w:rsidR="008C6CD9">
        <w:t>-response</w:t>
      </w:r>
      <w:r w:rsidR="00F5118C">
        <w:t xml:space="preserve"> </w:t>
      </w:r>
      <w:r w:rsidR="00095C30">
        <w:t xml:space="preserve">should change occur, review of existing measures </w:t>
      </w:r>
      <w:r w:rsidR="00F5118C">
        <w:t>and enhanced management</w:t>
      </w:r>
      <w:r w:rsidR="00095C30">
        <w:t xml:space="preserve"> if required.</w:t>
      </w:r>
    </w:p>
    <w:p w:rsidR="00956065" w:rsidRDefault="00092550" w:rsidP="006B4263">
      <w:pPr>
        <w:ind w:left="357" w:hanging="357"/>
        <w:jc w:val="both"/>
      </w:pPr>
      <w:r>
        <w:tab/>
      </w:r>
      <w:r w:rsidR="008C6CD9">
        <w:t xml:space="preserve">Monitoring provides </w:t>
      </w:r>
      <w:r w:rsidR="004132BD">
        <w:t>confidence</w:t>
      </w:r>
      <w:r w:rsidR="008C6CD9">
        <w:t xml:space="preserve"> in the following:</w:t>
      </w:r>
    </w:p>
    <w:p w:rsidR="00956065" w:rsidRDefault="00956065" w:rsidP="006B4263">
      <w:pPr>
        <w:ind w:left="357" w:hanging="357"/>
        <w:jc w:val="both"/>
      </w:pPr>
      <w:r>
        <w:tab/>
      </w:r>
      <w:r w:rsidR="006B4263">
        <w:t xml:space="preserve">a) </w:t>
      </w:r>
      <w:proofErr w:type="gramStart"/>
      <w:r w:rsidR="006B4263">
        <w:t>manag</w:t>
      </w:r>
      <w:r>
        <w:t>ement</w:t>
      </w:r>
      <w:proofErr w:type="gramEnd"/>
      <w:r>
        <w:t xml:space="preserve"> measures </w:t>
      </w:r>
      <w:r w:rsidR="008C6CD9">
        <w:t>are</w:t>
      </w:r>
      <w:r>
        <w:t xml:space="preserve"> effective</w:t>
      </w:r>
      <w:r w:rsidR="008555FC">
        <w:t xml:space="preserve"> – includes EU, National and Regional legislation</w:t>
      </w:r>
      <w:r>
        <w:t>;</w:t>
      </w:r>
    </w:p>
    <w:p w:rsidR="00956065" w:rsidRDefault="00956065" w:rsidP="006B4263">
      <w:pPr>
        <w:ind w:left="357" w:hanging="357"/>
        <w:jc w:val="both"/>
      </w:pPr>
      <w:r>
        <w:tab/>
      </w:r>
      <w:r w:rsidR="006B4263">
        <w:t xml:space="preserve">b) </w:t>
      </w:r>
      <w:proofErr w:type="gramStart"/>
      <w:r w:rsidR="006B4263">
        <w:t>activity</w:t>
      </w:r>
      <w:proofErr w:type="gramEnd"/>
      <w:r w:rsidR="006B4263">
        <w:t xml:space="preserve"> data at time of assessment </w:t>
      </w:r>
      <w:r w:rsidR="005A2218">
        <w:t>was</w:t>
      </w:r>
      <w:r w:rsidR="006B4263">
        <w:t xml:space="preserve"> correct</w:t>
      </w:r>
      <w:r>
        <w:t>;</w:t>
      </w:r>
    </w:p>
    <w:p w:rsidR="00956065" w:rsidRDefault="00956065" w:rsidP="006B4263">
      <w:pPr>
        <w:ind w:left="357" w:hanging="357"/>
        <w:jc w:val="both"/>
      </w:pPr>
      <w:r>
        <w:tab/>
      </w:r>
      <w:r w:rsidR="006B4263">
        <w:t xml:space="preserve">c) </w:t>
      </w:r>
      <w:proofErr w:type="gramStart"/>
      <w:r w:rsidR="006B4263">
        <w:t>activity</w:t>
      </w:r>
      <w:proofErr w:type="gramEnd"/>
      <w:r w:rsidR="006B4263">
        <w:t xml:space="preserve"> levels </w:t>
      </w:r>
      <w:r w:rsidR="008C6CD9">
        <w:t xml:space="preserve">are </w:t>
      </w:r>
      <w:r w:rsidR="006B4263">
        <w:t>not increasing</w:t>
      </w:r>
      <w:r>
        <w:t xml:space="preserve"> or methods changing;</w:t>
      </w:r>
    </w:p>
    <w:p w:rsidR="00956065" w:rsidRDefault="00956065" w:rsidP="006B4263">
      <w:pPr>
        <w:ind w:left="357" w:hanging="357"/>
        <w:jc w:val="both"/>
      </w:pPr>
      <w:r>
        <w:tab/>
      </w:r>
      <w:r w:rsidR="006B4263">
        <w:t xml:space="preserve">d) </w:t>
      </w:r>
      <w:proofErr w:type="gramStart"/>
      <w:r w:rsidR="006B4263">
        <w:t>feature</w:t>
      </w:r>
      <w:proofErr w:type="gramEnd"/>
      <w:r w:rsidR="006B4263">
        <w:t xml:space="preserve"> condition remains favourable</w:t>
      </w:r>
      <w:r>
        <w:t>;</w:t>
      </w:r>
    </w:p>
    <w:p w:rsidR="00513F3F" w:rsidRDefault="00956065" w:rsidP="006B4263">
      <w:pPr>
        <w:ind w:left="357" w:hanging="357"/>
        <w:jc w:val="both"/>
      </w:pPr>
      <w:r>
        <w:tab/>
      </w:r>
      <w:r w:rsidR="006B4263">
        <w:t xml:space="preserve">e) </w:t>
      </w:r>
      <w:proofErr w:type="gramStart"/>
      <w:r w:rsidR="006B4263">
        <w:t>risk</w:t>
      </w:r>
      <w:proofErr w:type="gramEnd"/>
      <w:r w:rsidR="006B4263">
        <w:t xml:space="preserve"> to features </w:t>
      </w:r>
      <w:r>
        <w:t xml:space="preserve">remains </w:t>
      </w:r>
      <w:r w:rsidR="008C6CD9">
        <w:t>low.</w:t>
      </w:r>
    </w:p>
    <w:p w:rsidR="00FB6AE5" w:rsidRDefault="00695338" w:rsidP="00695338">
      <w:pPr>
        <w:pStyle w:val="Style1"/>
        <w:numPr>
          <w:ilvl w:val="0"/>
          <w:numId w:val="0"/>
        </w:numPr>
        <w:ind w:left="357" w:hanging="357"/>
        <w:outlineLvl w:val="9"/>
      </w:pPr>
      <w:r>
        <w:lastRenderedPageBreak/>
        <w:t>3.</w:t>
      </w:r>
      <w:r>
        <w:tab/>
      </w:r>
      <w:r w:rsidR="00454099">
        <w:t>Our Approach</w:t>
      </w:r>
      <w:r w:rsidR="00092550">
        <w:t xml:space="preserve"> – how we monitor</w:t>
      </w:r>
      <w:r w:rsidR="001D7762">
        <w:t xml:space="preserve"> and control</w:t>
      </w:r>
    </w:p>
    <w:p w:rsidR="001F4A88" w:rsidRPr="001F4A88" w:rsidRDefault="001F4A88" w:rsidP="001F4A88">
      <w:pPr>
        <w:pStyle w:val="Style1"/>
        <w:numPr>
          <w:ilvl w:val="0"/>
          <w:numId w:val="0"/>
        </w:numPr>
        <w:ind w:left="360"/>
        <w:jc w:val="both"/>
        <w:rPr>
          <w:b w:val="0"/>
          <w:color w:val="auto"/>
          <w:sz w:val="22"/>
          <w:szCs w:val="22"/>
        </w:rPr>
      </w:pPr>
      <w:r w:rsidRPr="001F4A88">
        <w:rPr>
          <w:b w:val="0"/>
          <w:color w:val="auto"/>
          <w:sz w:val="22"/>
          <w:szCs w:val="22"/>
        </w:rPr>
        <w:t>All details of individual fishing activity within a site, including full description of the site, its featur</w:t>
      </w:r>
      <w:r w:rsidR="009B0DE3">
        <w:rPr>
          <w:b w:val="0"/>
          <w:color w:val="auto"/>
          <w:sz w:val="22"/>
          <w:szCs w:val="22"/>
        </w:rPr>
        <w:t>es and sensitivities, details of</w:t>
      </w:r>
      <w:r w:rsidRPr="001F4A88">
        <w:rPr>
          <w:b w:val="0"/>
          <w:color w:val="auto"/>
          <w:sz w:val="22"/>
          <w:szCs w:val="22"/>
        </w:rPr>
        <w:t xml:space="preserve"> fishing activity, effort, seasonality, spatial extent, gear and potential risk, as well as existing management, are contained within the individual HRAs or MCZ assessments. These are published on the NWIFCA website - </w:t>
      </w:r>
      <w:hyperlink r:id="rId10" w:history="1">
        <w:r w:rsidRPr="000B2EA9">
          <w:rPr>
            <w:rStyle w:val="Hyperlink"/>
            <w:b w:val="0"/>
            <w:sz w:val="22"/>
            <w:szCs w:val="22"/>
          </w:rPr>
          <w:t>http://www.nw-ifca.gov.uk/marine-protected-areas/hra/</w:t>
        </w:r>
      </w:hyperlink>
      <w:r>
        <w:rPr>
          <w:b w:val="0"/>
          <w:color w:val="auto"/>
          <w:sz w:val="22"/>
          <w:szCs w:val="22"/>
        </w:rPr>
        <w:t xml:space="preserve"> </w:t>
      </w:r>
      <w:r w:rsidRPr="001F4A88">
        <w:rPr>
          <w:b w:val="0"/>
          <w:color w:val="auto"/>
          <w:sz w:val="22"/>
          <w:szCs w:val="22"/>
        </w:rPr>
        <w:t>and shared with other regulators and conservation bodies through the HUDDLE web portal ‘Management of Fisheries in Marine Protected Areas’ pages. Referring to these documents negates the need to repeat this information within the M&amp;C Plan.</w:t>
      </w:r>
    </w:p>
    <w:p w:rsidR="001F4A88" w:rsidRDefault="001F4A88" w:rsidP="001F4A88">
      <w:pPr>
        <w:pStyle w:val="Style1"/>
        <w:numPr>
          <w:ilvl w:val="0"/>
          <w:numId w:val="0"/>
        </w:numPr>
        <w:ind w:left="360"/>
        <w:jc w:val="both"/>
        <w:rPr>
          <w:b w:val="0"/>
          <w:color w:val="auto"/>
          <w:sz w:val="22"/>
          <w:szCs w:val="22"/>
        </w:rPr>
      </w:pPr>
      <w:r w:rsidRPr="001F4A88">
        <w:rPr>
          <w:b w:val="0"/>
          <w:color w:val="auto"/>
          <w:sz w:val="22"/>
          <w:szCs w:val="22"/>
        </w:rPr>
        <w:t xml:space="preserve">The NWIFCA M&amp;C plan contains a suite of tables incorporating existing and on-going fishing activity within each MPA, a set of parameters which will be monitored with accompanying trigger levels. </w:t>
      </w:r>
      <w:r w:rsidR="009D29EF">
        <w:rPr>
          <w:b w:val="0"/>
          <w:color w:val="auto"/>
          <w:sz w:val="22"/>
          <w:szCs w:val="22"/>
        </w:rPr>
        <w:t>Most t</w:t>
      </w:r>
      <w:r>
        <w:rPr>
          <w:b w:val="0"/>
          <w:color w:val="auto"/>
          <w:sz w:val="22"/>
          <w:szCs w:val="22"/>
        </w:rPr>
        <w:t xml:space="preserve">riggers are </w:t>
      </w:r>
      <w:r w:rsidRPr="008555FC">
        <w:rPr>
          <w:b w:val="0"/>
          <w:color w:val="auto"/>
          <w:sz w:val="22"/>
          <w:szCs w:val="22"/>
        </w:rPr>
        <w:t xml:space="preserve">specific </w:t>
      </w:r>
      <w:r>
        <w:rPr>
          <w:b w:val="0"/>
          <w:color w:val="auto"/>
          <w:sz w:val="22"/>
          <w:szCs w:val="22"/>
        </w:rPr>
        <w:t xml:space="preserve">and measurable and set from expert </w:t>
      </w:r>
      <w:r w:rsidR="00A5418B">
        <w:rPr>
          <w:b w:val="0"/>
          <w:color w:val="auto"/>
          <w:sz w:val="22"/>
          <w:szCs w:val="22"/>
        </w:rPr>
        <w:t>knowledge and judgment</w:t>
      </w:r>
      <w:r>
        <w:rPr>
          <w:b w:val="0"/>
          <w:color w:val="auto"/>
          <w:sz w:val="22"/>
          <w:szCs w:val="22"/>
        </w:rPr>
        <w:t>.</w:t>
      </w:r>
      <w:r w:rsidR="009D29EF">
        <w:rPr>
          <w:b w:val="0"/>
          <w:color w:val="auto"/>
          <w:sz w:val="22"/>
          <w:szCs w:val="22"/>
        </w:rPr>
        <w:t xml:space="preserve"> At any time if concerns are raised by Natural England over potential risk or change to </w:t>
      </w:r>
      <w:r w:rsidR="00A5418B">
        <w:rPr>
          <w:b w:val="0"/>
          <w:color w:val="auto"/>
          <w:sz w:val="22"/>
          <w:szCs w:val="22"/>
        </w:rPr>
        <w:t xml:space="preserve">a site’s Conservation Objectives (ES) or General Management Approach (MCZ), or to </w:t>
      </w:r>
      <w:r w:rsidR="009D29EF">
        <w:rPr>
          <w:b w:val="0"/>
          <w:color w:val="auto"/>
          <w:sz w:val="22"/>
          <w:szCs w:val="22"/>
        </w:rPr>
        <w:t xml:space="preserve">features’ vulnerability or sensitivity, a </w:t>
      </w:r>
      <w:r w:rsidR="001D7762">
        <w:rPr>
          <w:b w:val="0"/>
          <w:color w:val="auto"/>
          <w:sz w:val="22"/>
          <w:szCs w:val="22"/>
        </w:rPr>
        <w:t>R</w:t>
      </w:r>
      <w:r w:rsidR="009D29EF">
        <w:rPr>
          <w:b w:val="0"/>
          <w:color w:val="auto"/>
          <w:sz w:val="22"/>
          <w:szCs w:val="22"/>
        </w:rPr>
        <w:t>eview will be activated.</w:t>
      </w:r>
    </w:p>
    <w:p w:rsidR="001F4A88" w:rsidRDefault="001F4A88" w:rsidP="001F4A88">
      <w:pPr>
        <w:pStyle w:val="Style1"/>
        <w:numPr>
          <w:ilvl w:val="0"/>
          <w:numId w:val="0"/>
        </w:numPr>
        <w:ind w:left="360"/>
        <w:jc w:val="both"/>
        <w:rPr>
          <w:b w:val="0"/>
          <w:color w:val="auto"/>
          <w:sz w:val="22"/>
          <w:szCs w:val="22"/>
        </w:rPr>
      </w:pPr>
      <w:r w:rsidRPr="001F4A88">
        <w:rPr>
          <w:b w:val="0"/>
          <w:color w:val="auto"/>
          <w:sz w:val="22"/>
          <w:szCs w:val="22"/>
        </w:rPr>
        <w:t xml:space="preserve">An Annual Review Date (ARD) is also built in to ensure any changes </w:t>
      </w:r>
      <w:r w:rsidR="009D29EF">
        <w:rPr>
          <w:b w:val="0"/>
          <w:color w:val="auto"/>
          <w:sz w:val="22"/>
          <w:szCs w:val="22"/>
        </w:rPr>
        <w:t xml:space="preserve">across all parameters </w:t>
      </w:r>
      <w:r w:rsidRPr="001F4A88">
        <w:rPr>
          <w:b w:val="0"/>
          <w:color w:val="auto"/>
          <w:sz w:val="22"/>
          <w:szCs w:val="22"/>
        </w:rPr>
        <w:t>are picked up. A detailed assessment of annual IFCO sightings data will be carried out. Should a trigger(s) be actioned between ARDs, the existing HRA</w:t>
      </w:r>
      <w:r>
        <w:rPr>
          <w:b w:val="0"/>
          <w:color w:val="auto"/>
          <w:sz w:val="22"/>
          <w:szCs w:val="22"/>
        </w:rPr>
        <w:t xml:space="preserve"> / MCZ assessment</w:t>
      </w:r>
      <w:r w:rsidRPr="001F4A88">
        <w:rPr>
          <w:b w:val="0"/>
          <w:color w:val="auto"/>
          <w:sz w:val="22"/>
          <w:szCs w:val="22"/>
        </w:rPr>
        <w:t xml:space="preserve"> will be reviewed with up to date data on fishing activity, evidence and research.</w:t>
      </w:r>
    </w:p>
    <w:p w:rsidR="00BF4CB9" w:rsidRDefault="00BF4CB9" w:rsidP="001F4A88">
      <w:pPr>
        <w:pStyle w:val="Style1"/>
        <w:numPr>
          <w:ilvl w:val="0"/>
          <w:numId w:val="0"/>
        </w:numPr>
        <w:ind w:left="360"/>
        <w:jc w:val="both"/>
        <w:rPr>
          <w:b w:val="0"/>
          <w:color w:val="auto"/>
          <w:sz w:val="22"/>
          <w:szCs w:val="22"/>
        </w:rPr>
      </w:pPr>
      <w:r>
        <w:rPr>
          <w:b w:val="0"/>
          <w:color w:val="auto"/>
          <w:sz w:val="22"/>
          <w:szCs w:val="22"/>
        </w:rPr>
        <w:t>‘Illegal Activity’ and ‘New Fisheries’ will be assessed monthly to ensure implementation of appropriate management as soon as emerging threats have been detected.</w:t>
      </w:r>
    </w:p>
    <w:p w:rsidR="001F4A88" w:rsidRDefault="001F4A88" w:rsidP="001F4A88">
      <w:pPr>
        <w:pStyle w:val="Style1"/>
        <w:numPr>
          <w:ilvl w:val="0"/>
          <w:numId w:val="0"/>
        </w:numPr>
        <w:ind w:left="360"/>
        <w:jc w:val="both"/>
        <w:rPr>
          <w:b w:val="0"/>
          <w:color w:val="auto"/>
          <w:sz w:val="22"/>
          <w:szCs w:val="22"/>
        </w:rPr>
      </w:pPr>
      <w:r w:rsidRPr="001F4A88">
        <w:rPr>
          <w:b w:val="0"/>
          <w:color w:val="auto"/>
          <w:sz w:val="22"/>
          <w:szCs w:val="22"/>
        </w:rPr>
        <w:t xml:space="preserve">Natural England </w:t>
      </w:r>
      <w:r>
        <w:rPr>
          <w:b w:val="0"/>
          <w:color w:val="auto"/>
          <w:sz w:val="22"/>
          <w:szCs w:val="22"/>
        </w:rPr>
        <w:t xml:space="preserve">will be asked to </w:t>
      </w:r>
      <w:proofErr w:type="gramStart"/>
      <w:r>
        <w:rPr>
          <w:b w:val="0"/>
          <w:color w:val="auto"/>
          <w:sz w:val="22"/>
          <w:szCs w:val="22"/>
        </w:rPr>
        <w:t>advise</w:t>
      </w:r>
      <w:proofErr w:type="gramEnd"/>
      <w:r>
        <w:rPr>
          <w:b w:val="0"/>
          <w:color w:val="auto"/>
          <w:sz w:val="22"/>
          <w:szCs w:val="22"/>
        </w:rPr>
        <w:t xml:space="preserve"> on any </w:t>
      </w:r>
      <w:r w:rsidR="001D7762">
        <w:rPr>
          <w:b w:val="0"/>
          <w:color w:val="auto"/>
          <w:sz w:val="22"/>
          <w:szCs w:val="22"/>
        </w:rPr>
        <w:t>R</w:t>
      </w:r>
      <w:r>
        <w:rPr>
          <w:b w:val="0"/>
          <w:color w:val="auto"/>
          <w:sz w:val="22"/>
          <w:szCs w:val="22"/>
        </w:rPr>
        <w:t xml:space="preserve">eview carried out, and the </w:t>
      </w:r>
      <w:r w:rsidR="001D7762">
        <w:rPr>
          <w:b w:val="0"/>
          <w:color w:val="auto"/>
          <w:sz w:val="22"/>
          <w:szCs w:val="22"/>
        </w:rPr>
        <w:t>R</w:t>
      </w:r>
      <w:r w:rsidRPr="001F4A88">
        <w:rPr>
          <w:b w:val="0"/>
          <w:color w:val="auto"/>
          <w:sz w:val="22"/>
          <w:szCs w:val="22"/>
        </w:rPr>
        <w:t>eview and its findings will be documented.</w:t>
      </w:r>
    </w:p>
    <w:p w:rsidR="008555FC" w:rsidRPr="008555FC" w:rsidRDefault="008555FC" w:rsidP="001F4A88">
      <w:pPr>
        <w:pStyle w:val="Style1"/>
        <w:numPr>
          <w:ilvl w:val="0"/>
          <w:numId w:val="0"/>
        </w:numPr>
        <w:ind w:left="360"/>
        <w:jc w:val="both"/>
        <w:rPr>
          <w:b w:val="0"/>
          <w:color w:val="auto"/>
          <w:sz w:val="22"/>
          <w:szCs w:val="22"/>
        </w:rPr>
      </w:pPr>
      <w:r w:rsidRPr="008555FC">
        <w:rPr>
          <w:b w:val="0"/>
          <w:color w:val="auto"/>
          <w:sz w:val="22"/>
          <w:szCs w:val="22"/>
        </w:rPr>
        <w:t xml:space="preserve">Monitoring of Activity </w:t>
      </w:r>
      <w:r>
        <w:rPr>
          <w:b w:val="0"/>
          <w:color w:val="auto"/>
          <w:sz w:val="22"/>
          <w:szCs w:val="22"/>
        </w:rPr>
        <w:t xml:space="preserve">and Effort </w:t>
      </w:r>
      <w:r w:rsidRPr="008555FC">
        <w:rPr>
          <w:b w:val="0"/>
          <w:color w:val="auto"/>
          <w:sz w:val="22"/>
          <w:szCs w:val="22"/>
        </w:rPr>
        <w:t>is carried out using the following sources of data:</w:t>
      </w:r>
    </w:p>
    <w:p w:rsidR="00153ADB" w:rsidRDefault="00153ADB" w:rsidP="008555FC">
      <w:pPr>
        <w:pStyle w:val="Style1"/>
        <w:numPr>
          <w:ilvl w:val="0"/>
          <w:numId w:val="14"/>
        </w:numPr>
        <w:jc w:val="both"/>
        <w:rPr>
          <w:b w:val="0"/>
          <w:color w:val="auto"/>
          <w:sz w:val="22"/>
          <w:szCs w:val="22"/>
        </w:rPr>
      </w:pPr>
      <w:r w:rsidRPr="008555FC">
        <w:rPr>
          <w:b w:val="0"/>
          <w:color w:val="auto"/>
          <w:sz w:val="22"/>
          <w:szCs w:val="22"/>
        </w:rPr>
        <w:t>IFCO Sightings</w:t>
      </w:r>
      <w:r w:rsidR="004367CF" w:rsidRPr="008555FC">
        <w:rPr>
          <w:b w:val="0"/>
          <w:color w:val="auto"/>
          <w:sz w:val="22"/>
          <w:szCs w:val="22"/>
        </w:rPr>
        <w:t xml:space="preserve"> – patrols both at sea, in port</w:t>
      </w:r>
      <w:r w:rsidR="008555FC">
        <w:rPr>
          <w:b w:val="0"/>
          <w:color w:val="auto"/>
          <w:sz w:val="22"/>
          <w:szCs w:val="22"/>
        </w:rPr>
        <w:t>s and harbours, and shore based;</w:t>
      </w:r>
    </w:p>
    <w:p w:rsidR="00153ADB" w:rsidRDefault="008555FC" w:rsidP="008555FC">
      <w:pPr>
        <w:pStyle w:val="Style1"/>
        <w:numPr>
          <w:ilvl w:val="0"/>
          <w:numId w:val="14"/>
        </w:numPr>
        <w:jc w:val="both"/>
        <w:rPr>
          <w:b w:val="0"/>
          <w:color w:val="auto"/>
          <w:sz w:val="22"/>
          <w:szCs w:val="22"/>
        </w:rPr>
      </w:pPr>
      <w:r w:rsidRPr="008555FC">
        <w:rPr>
          <w:b w:val="0"/>
          <w:color w:val="auto"/>
          <w:sz w:val="22"/>
          <w:szCs w:val="22"/>
        </w:rPr>
        <w:t xml:space="preserve">through discussion at </w:t>
      </w:r>
      <w:r>
        <w:rPr>
          <w:b w:val="0"/>
          <w:color w:val="auto"/>
          <w:sz w:val="22"/>
          <w:szCs w:val="22"/>
        </w:rPr>
        <w:t xml:space="preserve">NWIFCA </w:t>
      </w:r>
      <w:r w:rsidR="00153ADB" w:rsidRPr="008555FC">
        <w:rPr>
          <w:b w:val="0"/>
          <w:color w:val="auto"/>
          <w:sz w:val="22"/>
          <w:szCs w:val="22"/>
        </w:rPr>
        <w:t>IFCO meetings</w:t>
      </w:r>
      <w:r>
        <w:rPr>
          <w:b w:val="0"/>
          <w:color w:val="auto"/>
          <w:sz w:val="22"/>
          <w:szCs w:val="22"/>
        </w:rPr>
        <w:t>;</w:t>
      </w:r>
    </w:p>
    <w:p w:rsidR="008555FC" w:rsidRPr="008555FC" w:rsidRDefault="008555FC" w:rsidP="008555FC">
      <w:pPr>
        <w:pStyle w:val="Style1"/>
        <w:numPr>
          <w:ilvl w:val="0"/>
          <w:numId w:val="14"/>
        </w:numPr>
        <w:jc w:val="both"/>
        <w:rPr>
          <w:b w:val="0"/>
          <w:color w:val="auto"/>
          <w:sz w:val="22"/>
          <w:szCs w:val="22"/>
        </w:rPr>
      </w:pPr>
      <w:r w:rsidRPr="008555FC">
        <w:rPr>
          <w:b w:val="0"/>
          <w:color w:val="auto"/>
          <w:sz w:val="22"/>
          <w:szCs w:val="22"/>
        </w:rPr>
        <w:t>INTEL reports for illegal activity</w:t>
      </w:r>
      <w:r>
        <w:rPr>
          <w:b w:val="0"/>
          <w:color w:val="auto"/>
          <w:sz w:val="22"/>
          <w:szCs w:val="22"/>
        </w:rPr>
        <w:t>;</w:t>
      </w:r>
    </w:p>
    <w:p w:rsidR="008555FC" w:rsidRPr="008555FC" w:rsidRDefault="004367CF" w:rsidP="008555FC">
      <w:pPr>
        <w:pStyle w:val="Style1"/>
        <w:numPr>
          <w:ilvl w:val="0"/>
          <w:numId w:val="14"/>
        </w:numPr>
        <w:jc w:val="both"/>
        <w:rPr>
          <w:b w:val="0"/>
          <w:color w:val="auto"/>
          <w:sz w:val="22"/>
          <w:szCs w:val="22"/>
        </w:rPr>
      </w:pPr>
      <w:r w:rsidRPr="008555FC">
        <w:rPr>
          <w:b w:val="0"/>
          <w:color w:val="auto"/>
          <w:sz w:val="22"/>
          <w:szCs w:val="22"/>
        </w:rPr>
        <w:t>MCSS data</w:t>
      </w:r>
      <w:r w:rsidR="008555FC">
        <w:rPr>
          <w:b w:val="0"/>
          <w:color w:val="auto"/>
          <w:sz w:val="22"/>
          <w:szCs w:val="22"/>
        </w:rPr>
        <w:t xml:space="preserve"> and </w:t>
      </w:r>
      <w:r w:rsidR="008555FC" w:rsidRPr="008555FC">
        <w:rPr>
          <w:b w:val="0"/>
          <w:color w:val="auto"/>
          <w:sz w:val="22"/>
          <w:szCs w:val="22"/>
        </w:rPr>
        <w:t>MCSS MPA activity monitoring programme (requested report) from MMO</w:t>
      </w:r>
      <w:r w:rsidR="008555FC">
        <w:rPr>
          <w:b w:val="0"/>
          <w:color w:val="auto"/>
          <w:sz w:val="22"/>
          <w:szCs w:val="22"/>
        </w:rPr>
        <w:t>;</w:t>
      </w:r>
    </w:p>
    <w:p w:rsidR="008555FC" w:rsidRDefault="004367CF" w:rsidP="008555FC">
      <w:pPr>
        <w:pStyle w:val="Style1"/>
        <w:numPr>
          <w:ilvl w:val="0"/>
          <w:numId w:val="14"/>
        </w:numPr>
        <w:jc w:val="both"/>
        <w:rPr>
          <w:b w:val="0"/>
          <w:color w:val="auto"/>
          <w:sz w:val="22"/>
          <w:szCs w:val="22"/>
        </w:rPr>
      </w:pPr>
      <w:r w:rsidRPr="008555FC">
        <w:rPr>
          <w:b w:val="0"/>
          <w:color w:val="auto"/>
          <w:sz w:val="22"/>
          <w:szCs w:val="22"/>
        </w:rPr>
        <w:t>MMO landings data - a request for landings data will be submitted at the end of each calendar year</w:t>
      </w:r>
      <w:r w:rsidR="009B0DE3">
        <w:rPr>
          <w:b w:val="0"/>
          <w:color w:val="auto"/>
          <w:sz w:val="22"/>
          <w:szCs w:val="22"/>
        </w:rPr>
        <w:t>.</w:t>
      </w:r>
    </w:p>
    <w:p w:rsidR="008555FC" w:rsidRDefault="008555FC" w:rsidP="008555FC">
      <w:pPr>
        <w:pStyle w:val="Style1"/>
        <w:numPr>
          <w:ilvl w:val="0"/>
          <w:numId w:val="0"/>
        </w:numPr>
        <w:ind w:left="360"/>
        <w:jc w:val="both"/>
        <w:rPr>
          <w:b w:val="0"/>
          <w:color w:val="auto"/>
          <w:sz w:val="22"/>
          <w:szCs w:val="22"/>
        </w:rPr>
      </w:pPr>
      <w:r w:rsidRPr="008555FC">
        <w:rPr>
          <w:b w:val="0"/>
          <w:color w:val="auto"/>
          <w:sz w:val="22"/>
          <w:szCs w:val="22"/>
        </w:rPr>
        <w:t xml:space="preserve">Monitoring of </w:t>
      </w:r>
      <w:r>
        <w:rPr>
          <w:b w:val="0"/>
          <w:color w:val="auto"/>
          <w:sz w:val="22"/>
          <w:szCs w:val="22"/>
        </w:rPr>
        <w:t xml:space="preserve">Site and Feature condition </w:t>
      </w:r>
      <w:r w:rsidRPr="008555FC">
        <w:rPr>
          <w:b w:val="0"/>
          <w:color w:val="auto"/>
          <w:sz w:val="22"/>
          <w:szCs w:val="22"/>
        </w:rPr>
        <w:t>is carried out using the following sources of data:</w:t>
      </w:r>
    </w:p>
    <w:p w:rsidR="00603132" w:rsidRDefault="00603132" w:rsidP="008555FC">
      <w:pPr>
        <w:pStyle w:val="Style1"/>
        <w:numPr>
          <w:ilvl w:val="0"/>
          <w:numId w:val="0"/>
        </w:numPr>
        <w:ind w:left="360"/>
        <w:jc w:val="both"/>
        <w:rPr>
          <w:b w:val="0"/>
          <w:color w:val="auto"/>
          <w:sz w:val="22"/>
          <w:szCs w:val="22"/>
        </w:rPr>
      </w:pPr>
    </w:p>
    <w:p w:rsidR="008555FC" w:rsidRDefault="008555FC" w:rsidP="008555FC">
      <w:pPr>
        <w:pStyle w:val="ListParagraph"/>
        <w:numPr>
          <w:ilvl w:val="0"/>
          <w:numId w:val="15"/>
        </w:numPr>
        <w:spacing w:after="0" w:line="240" w:lineRule="auto"/>
      </w:pPr>
      <w:r>
        <w:rPr>
          <w:b/>
        </w:rPr>
        <w:t xml:space="preserve">Annually </w:t>
      </w:r>
      <w:r>
        <w:t>from season reports and communications with site managers &amp; NGOs of features’ status</w:t>
      </w:r>
      <w:r w:rsidR="00A5418B">
        <w:t>;</w:t>
      </w:r>
    </w:p>
    <w:p w:rsidR="004367CF" w:rsidRDefault="001F4A88" w:rsidP="001F4A88">
      <w:pPr>
        <w:pStyle w:val="Style1"/>
        <w:numPr>
          <w:ilvl w:val="0"/>
          <w:numId w:val="15"/>
        </w:numPr>
        <w:jc w:val="both"/>
        <w:rPr>
          <w:b w:val="0"/>
          <w:color w:val="auto"/>
          <w:sz w:val="22"/>
          <w:szCs w:val="22"/>
        </w:rPr>
      </w:pPr>
      <w:r w:rsidRPr="001F4A88">
        <w:rPr>
          <w:b w:val="0"/>
          <w:color w:val="auto"/>
          <w:sz w:val="22"/>
          <w:szCs w:val="22"/>
        </w:rPr>
        <w:lastRenderedPageBreak/>
        <w:t xml:space="preserve">Natural England’s </w:t>
      </w:r>
      <w:r>
        <w:rPr>
          <w:b w:val="0"/>
          <w:color w:val="auto"/>
          <w:sz w:val="22"/>
          <w:szCs w:val="22"/>
        </w:rPr>
        <w:t xml:space="preserve">six yearly </w:t>
      </w:r>
      <w:r w:rsidRPr="001F4A88">
        <w:rPr>
          <w:b w:val="0"/>
          <w:color w:val="auto"/>
          <w:sz w:val="22"/>
          <w:szCs w:val="22"/>
        </w:rPr>
        <w:t>site condition monitoring</w:t>
      </w:r>
      <w:r>
        <w:rPr>
          <w:b w:val="0"/>
          <w:color w:val="auto"/>
          <w:sz w:val="22"/>
          <w:szCs w:val="22"/>
        </w:rPr>
        <w:t xml:space="preserve"> - </w:t>
      </w:r>
      <w:r w:rsidRPr="001F4A88">
        <w:rPr>
          <w:b w:val="0"/>
          <w:color w:val="auto"/>
          <w:sz w:val="22"/>
          <w:szCs w:val="22"/>
        </w:rPr>
        <w:t>the most</w:t>
      </w:r>
      <w:r>
        <w:rPr>
          <w:b w:val="0"/>
          <w:color w:val="auto"/>
          <w:sz w:val="22"/>
          <w:szCs w:val="22"/>
        </w:rPr>
        <w:t xml:space="preserve"> recent assessment will be used;</w:t>
      </w:r>
    </w:p>
    <w:p w:rsidR="009B0DE3" w:rsidRDefault="009B0DE3" w:rsidP="001F4A88">
      <w:pPr>
        <w:pStyle w:val="Style1"/>
        <w:numPr>
          <w:ilvl w:val="0"/>
          <w:numId w:val="15"/>
        </w:numPr>
        <w:jc w:val="both"/>
        <w:rPr>
          <w:b w:val="0"/>
          <w:color w:val="auto"/>
          <w:sz w:val="22"/>
          <w:szCs w:val="22"/>
        </w:rPr>
      </w:pPr>
      <w:proofErr w:type="gramStart"/>
      <w:r>
        <w:rPr>
          <w:b w:val="0"/>
          <w:color w:val="auto"/>
          <w:sz w:val="22"/>
          <w:szCs w:val="22"/>
        </w:rPr>
        <w:t>any</w:t>
      </w:r>
      <w:proofErr w:type="gramEnd"/>
      <w:r>
        <w:rPr>
          <w:b w:val="0"/>
          <w:color w:val="auto"/>
          <w:sz w:val="22"/>
          <w:szCs w:val="22"/>
        </w:rPr>
        <w:t xml:space="preserve"> interim ‘risk’ reports from Natural England.</w:t>
      </w:r>
    </w:p>
    <w:p w:rsidR="00603132" w:rsidRPr="008555FC" w:rsidRDefault="00603132" w:rsidP="00603132">
      <w:pPr>
        <w:pStyle w:val="Style1"/>
        <w:numPr>
          <w:ilvl w:val="0"/>
          <w:numId w:val="0"/>
        </w:numPr>
        <w:ind w:left="1141"/>
        <w:jc w:val="both"/>
        <w:rPr>
          <w:b w:val="0"/>
          <w:color w:val="auto"/>
          <w:sz w:val="22"/>
          <w:szCs w:val="22"/>
        </w:rPr>
      </w:pPr>
    </w:p>
    <w:p w:rsidR="00DD64FE" w:rsidRDefault="001D7762" w:rsidP="001D7762">
      <w:pPr>
        <w:pStyle w:val="Style1"/>
        <w:numPr>
          <w:ilvl w:val="0"/>
          <w:numId w:val="0"/>
        </w:numPr>
        <w:ind w:left="357" w:hanging="357"/>
        <w:outlineLvl w:val="9"/>
      </w:pPr>
      <w:r>
        <w:t>4.</w:t>
      </w:r>
      <w:r>
        <w:tab/>
        <w:t>Management Options</w:t>
      </w:r>
    </w:p>
    <w:p w:rsidR="009B0DE3" w:rsidRDefault="009B0DE3" w:rsidP="001D7762">
      <w:pPr>
        <w:ind w:left="357" w:hanging="357"/>
        <w:jc w:val="both"/>
        <w:rPr>
          <w:b/>
          <w:i/>
        </w:rPr>
      </w:pPr>
    </w:p>
    <w:p w:rsidR="001D7762" w:rsidRDefault="001D7762" w:rsidP="001D7762">
      <w:pPr>
        <w:ind w:left="357" w:hanging="357"/>
        <w:jc w:val="both"/>
      </w:pPr>
      <w:r>
        <w:rPr>
          <w:b/>
          <w:i/>
        </w:rPr>
        <w:tab/>
      </w:r>
      <w:r w:rsidRPr="001D7762">
        <w:t xml:space="preserve">In such case as a Review concludes that fishing activity could have </w:t>
      </w:r>
      <w:r w:rsidR="00142ABC" w:rsidRPr="001D7762">
        <w:t xml:space="preserve">an adverse effect on the designated feature of a protected site a suite of management </w:t>
      </w:r>
      <w:r w:rsidRPr="001D7762">
        <w:t>options</w:t>
      </w:r>
      <w:r w:rsidR="00142ABC" w:rsidRPr="001D7762">
        <w:t xml:space="preserve"> will be evaluated and recommendations for management consulted upon where appropriate.  </w:t>
      </w:r>
    </w:p>
    <w:p w:rsidR="00DF0F34" w:rsidRPr="001D0BB7" w:rsidRDefault="001D0BB7" w:rsidP="001D7762">
      <w:pPr>
        <w:ind w:left="357" w:hanging="357"/>
        <w:jc w:val="both"/>
        <w:rPr>
          <w:u w:val="single"/>
        </w:rPr>
      </w:pPr>
      <w:r>
        <w:tab/>
      </w:r>
      <w:r w:rsidR="00DF0F34" w:rsidRPr="001D0BB7">
        <w:rPr>
          <w:u w:val="single"/>
        </w:rPr>
        <w:t>Management Options</w:t>
      </w:r>
      <w:r w:rsidR="001D7762" w:rsidRPr="001D0BB7">
        <w:rPr>
          <w:u w:val="single"/>
        </w:rPr>
        <w:t xml:space="preserve"> (adapted from Northumberland IFCA Static Netting M&amp;C Plan)</w:t>
      </w:r>
    </w:p>
    <w:p w:rsidR="001D7762" w:rsidRDefault="001D7762" w:rsidP="001D7762">
      <w:pPr>
        <w:ind w:left="357" w:hanging="357"/>
        <w:jc w:val="both"/>
      </w:pPr>
      <w:r>
        <w:tab/>
      </w:r>
      <w:proofErr w:type="spellStart"/>
      <w:r w:rsidR="001D0BB7">
        <w:t>i</w:t>
      </w:r>
      <w:proofErr w:type="spellEnd"/>
      <w:r w:rsidR="001D0BB7">
        <w:t>.</w:t>
      </w:r>
      <w:r w:rsidR="001D0BB7">
        <w:tab/>
      </w:r>
      <w:r>
        <w:t>Voluntary Code of Conduct</w:t>
      </w:r>
      <w:r w:rsidR="001D0BB7">
        <w:t xml:space="preserve"> – unlikely to be used if risk is deemed high</w:t>
      </w:r>
    </w:p>
    <w:p w:rsidR="001D0BB7" w:rsidRDefault="001D7762" w:rsidP="001D0BB7">
      <w:pPr>
        <w:ind w:left="357" w:hanging="357"/>
        <w:jc w:val="both"/>
      </w:pPr>
      <w:r>
        <w:tab/>
      </w:r>
      <w:r w:rsidR="001D0BB7">
        <w:t>ii.</w:t>
      </w:r>
      <w:r w:rsidR="001D0BB7">
        <w:tab/>
        <w:t xml:space="preserve">Byelaw – Prohibitive - permanent prohibitions on activity if evidence of risk shows high or </w:t>
      </w:r>
      <w:r w:rsidR="001D0BB7">
        <w:tab/>
        <w:t>unacceptable</w:t>
      </w:r>
    </w:p>
    <w:p w:rsidR="001D7762" w:rsidRDefault="001D0BB7" w:rsidP="001D0BB7">
      <w:pPr>
        <w:ind w:firstLine="357"/>
      </w:pPr>
      <w:r>
        <w:t>iii.</w:t>
      </w:r>
      <w:r>
        <w:tab/>
        <w:t xml:space="preserve">Byelaw – Permissive - </w:t>
      </w:r>
      <w:r w:rsidR="001D7762">
        <w:t>Flexible Permitting</w:t>
      </w:r>
      <w:r>
        <w:t xml:space="preserve"> </w:t>
      </w:r>
      <w:r w:rsidR="001D7762">
        <w:t xml:space="preserve">– incorporating a range of conditions attached to the </w:t>
      </w:r>
      <w:r>
        <w:tab/>
      </w:r>
      <w:r w:rsidR="001D7762">
        <w:t>permit such as:</w:t>
      </w:r>
    </w:p>
    <w:p w:rsidR="001D7762" w:rsidRDefault="001D7762" w:rsidP="001D7762">
      <w:pPr>
        <w:pStyle w:val="ListParagraph"/>
        <w:numPr>
          <w:ilvl w:val="0"/>
          <w:numId w:val="16"/>
        </w:numPr>
        <w:jc w:val="both"/>
      </w:pPr>
      <w:r>
        <w:t>temporal closures</w:t>
      </w:r>
    </w:p>
    <w:p w:rsidR="001D7762" w:rsidRDefault="001D7762" w:rsidP="001D7762">
      <w:pPr>
        <w:pStyle w:val="ListParagraph"/>
        <w:numPr>
          <w:ilvl w:val="0"/>
          <w:numId w:val="16"/>
        </w:numPr>
        <w:jc w:val="both"/>
      </w:pPr>
      <w:r>
        <w:t>spatial closures – permanent and temporary</w:t>
      </w:r>
    </w:p>
    <w:p w:rsidR="001D7762" w:rsidRDefault="001D7762" w:rsidP="001D7762">
      <w:pPr>
        <w:pStyle w:val="ListParagraph"/>
        <w:numPr>
          <w:ilvl w:val="0"/>
          <w:numId w:val="16"/>
        </w:numPr>
        <w:jc w:val="both"/>
      </w:pPr>
      <w:r>
        <w:t>effort limitation – restrict number of permits</w:t>
      </w:r>
    </w:p>
    <w:p w:rsidR="001D7762" w:rsidRDefault="001D7762" w:rsidP="001D7762">
      <w:pPr>
        <w:pStyle w:val="ListParagraph"/>
        <w:numPr>
          <w:ilvl w:val="0"/>
          <w:numId w:val="16"/>
        </w:numPr>
        <w:jc w:val="both"/>
      </w:pPr>
      <w:r>
        <w:t>gear limitations</w:t>
      </w:r>
    </w:p>
    <w:p w:rsidR="001D7762" w:rsidRDefault="001D7762" w:rsidP="001D7762">
      <w:pPr>
        <w:pStyle w:val="ListParagraph"/>
        <w:numPr>
          <w:ilvl w:val="0"/>
          <w:numId w:val="16"/>
        </w:numPr>
        <w:jc w:val="both"/>
      </w:pPr>
      <w:r>
        <w:t>TACs and quotas</w:t>
      </w:r>
    </w:p>
    <w:p w:rsidR="001D0BB7" w:rsidRDefault="001D0BB7" w:rsidP="001D0BB7">
      <w:pPr>
        <w:ind w:left="357" w:hanging="357"/>
        <w:jc w:val="both"/>
      </w:pPr>
      <w:r>
        <w:tab/>
        <w:t>iv.</w:t>
      </w:r>
      <w:r>
        <w:tab/>
      </w:r>
      <w:r w:rsidR="005D1D08">
        <w:t xml:space="preserve">Emergency Byelaw – for unforeseen </w:t>
      </w:r>
      <w:r w:rsidR="00F12E84">
        <w:t>risks</w:t>
      </w:r>
    </w:p>
    <w:p w:rsidR="001D0BB7" w:rsidRDefault="001D0BB7" w:rsidP="001D0BB7">
      <w:pPr>
        <w:ind w:left="357" w:hanging="357"/>
        <w:jc w:val="both"/>
        <w:rPr>
          <w:b/>
          <w:color w:val="31849B" w:themeColor="accent5" w:themeShade="BF"/>
          <w:sz w:val="26"/>
          <w:szCs w:val="26"/>
        </w:rPr>
      </w:pPr>
    </w:p>
    <w:p w:rsidR="00603132" w:rsidRDefault="001D0BB7" w:rsidP="00603132">
      <w:pPr>
        <w:ind w:left="357" w:hanging="357"/>
        <w:jc w:val="both"/>
        <w:rPr>
          <w:b/>
          <w:color w:val="31849B" w:themeColor="accent5" w:themeShade="BF"/>
          <w:sz w:val="26"/>
          <w:szCs w:val="26"/>
        </w:rPr>
      </w:pPr>
      <w:r w:rsidRPr="001D0BB7">
        <w:rPr>
          <w:b/>
          <w:color w:val="31849B" w:themeColor="accent5" w:themeShade="BF"/>
          <w:sz w:val="26"/>
          <w:szCs w:val="26"/>
        </w:rPr>
        <w:t>5.</w:t>
      </w:r>
      <w:r w:rsidRPr="001D0BB7">
        <w:rPr>
          <w:b/>
          <w:color w:val="31849B" w:themeColor="accent5" w:themeShade="BF"/>
          <w:sz w:val="26"/>
          <w:szCs w:val="26"/>
        </w:rPr>
        <w:tab/>
      </w:r>
      <w:r w:rsidR="00FB3AA8">
        <w:rPr>
          <w:b/>
          <w:color w:val="31849B" w:themeColor="accent5" w:themeShade="BF"/>
          <w:sz w:val="26"/>
          <w:szCs w:val="26"/>
        </w:rPr>
        <w:t>Cockle and Mussel F</w:t>
      </w:r>
      <w:r w:rsidR="009B0DE3" w:rsidRPr="001D0BB7">
        <w:rPr>
          <w:b/>
          <w:color w:val="31849B" w:themeColor="accent5" w:themeShade="BF"/>
          <w:sz w:val="26"/>
          <w:szCs w:val="26"/>
        </w:rPr>
        <w:t>isheries</w:t>
      </w:r>
    </w:p>
    <w:p w:rsidR="00A56189" w:rsidRPr="00603132" w:rsidRDefault="001D0BB7" w:rsidP="00603132">
      <w:pPr>
        <w:ind w:left="357" w:hanging="357"/>
        <w:jc w:val="both"/>
      </w:pPr>
      <w:r>
        <w:rPr>
          <w:b/>
        </w:rPr>
        <w:tab/>
      </w:r>
      <w:r w:rsidRPr="00603132">
        <w:t xml:space="preserve">The NWIFCA District has a total of six ES in which cockle and mussel fisheries could occur, totalling 36 beds. Due to the high natural variation of cockle and mussel fisheries with the NWIFCA District that come and go, are unpredictable in extent and abundance, each fishery undergoes an individual HRA with in-built management and mitigation measures. These are the most closely managed fisheries in the District, in terms of </w:t>
      </w:r>
      <w:r w:rsidR="009557BB" w:rsidRPr="00603132">
        <w:t xml:space="preserve">regulation, </w:t>
      </w:r>
      <w:r w:rsidRPr="00603132">
        <w:t xml:space="preserve">assessment, multi-agency joint working and enforcement. As a result </w:t>
      </w:r>
      <w:r w:rsidR="009557BB" w:rsidRPr="00603132">
        <w:t xml:space="preserve">they each have individual parameters and triggers that cannot be defined in an overall plan such as this. They have subsequently </w:t>
      </w:r>
      <w:r w:rsidRPr="00603132">
        <w:t>not been included in this M&amp;C Plan</w:t>
      </w:r>
      <w:r w:rsidR="009557BB" w:rsidRPr="00603132">
        <w:t>.</w:t>
      </w:r>
    </w:p>
    <w:p w:rsidR="00112E1B" w:rsidRDefault="001D0BB7" w:rsidP="009557BB">
      <w:pPr>
        <w:pStyle w:val="Style1"/>
        <w:numPr>
          <w:ilvl w:val="0"/>
          <w:numId w:val="0"/>
        </w:numPr>
        <w:ind w:left="357" w:hanging="357"/>
        <w:outlineLvl w:val="9"/>
      </w:pPr>
      <w:r>
        <w:lastRenderedPageBreak/>
        <w:t>6</w:t>
      </w:r>
      <w:r w:rsidR="00A56189">
        <w:t>.</w:t>
      </w:r>
      <w:r w:rsidR="00A56189">
        <w:tab/>
      </w:r>
      <w:r w:rsidR="00112E1B">
        <w:t>New Fisheries or Change in Regulation</w:t>
      </w:r>
    </w:p>
    <w:p w:rsidR="00112E1B" w:rsidRDefault="00112E1B" w:rsidP="00112E1B">
      <w:pPr>
        <w:pStyle w:val="Style1"/>
        <w:numPr>
          <w:ilvl w:val="0"/>
          <w:numId w:val="0"/>
        </w:numPr>
        <w:ind w:left="357" w:hanging="357"/>
        <w:jc w:val="both"/>
        <w:outlineLvl w:val="9"/>
        <w:rPr>
          <w:b w:val="0"/>
          <w:color w:val="auto"/>
          <w:sz w:val="22"/>
          <w:szCs w:val="22"/>
        </w:rPr>
      </w:pPr>
      <w:r>
        <w:rPr>
          <w:b w:val="0"/>
          <w:color w:val="auto"/>
          <w:sz w:val="22"/>
          <w:szCs w:val="22"/>
        </w:rPr>
        <w:tab/>
        <w:t>IFCO Enforcement officers constantly monitor fishing activity, as well as gathering and sharing intelligence with other agencies. Should new fisheries develop within MPAs this will automatically trigger a new assessment which will be documented in the relevant site page(s) of the M&amp;C Plan.</w:t>
      </w:r>
    </w:p>
    <w:p w:rsidR="00112E1B" w:rsidRDefault="00112E1B" w:rsidP="00112E1B">
      <w:pPr>
        <w:pStyle w:val="Style1"/>
        <w:numPr>
          <w:ilvl w:val="0"/>
          <w:numId w:val="0"/>
        </w:numPr>
        <w:ind w:left="357" w:hanging="357"/>
        <w:jc w:val="both"/>
        <w:outlineLvl w:val="9"/>
        <w:rPr>
          <w:b w:val="0"/>
          <w:color w:val="auto"/>
          <w:sz w:val="22"/>
          <w:szCs w:val="22"/>
        </w:rPr>
      </w:pPr>
      <w:r>
        <w:rPr>
          <w:b w:val="0"/>
          <w:color w:val="auto"/>
          <w:sz w:val="22"/>
          <w:szCs w:val="22"/>
        </w:rPr>
        <w:tab/>
        <w:t>A change in regulation that reduces levels of control is unlikely. New regulation is generally brought in to tighten and strengthen existing controls. However it could necessitate the revocation of existing measures to avoid duplication. A check to ensure no gaps in management are created will be triggered for any Change in Regulation and documented in the relevant site page(s) of the M&amp;C Plan.</w:t>
      </w:r>
    </w:p>
    <w:p w:rsidR="00112E1B" w:rsidRDefault="00112E1B" w:rsidP="009557BB">
      <w:pPr>
        <w:pStyle w:val="Style1"/>
        <w:numPr>
          <w:ilvl w:val="0"/>
          <w:numId w:val="0"/>
        </w:numPr>
        <w:ind w:left="357" w:hanging="357"/>
        <w:outlineLvl w:val="9"/>
      </w:pPr>
    </w:p>
    <w:p w:rsidR="009557BB" w:rsidRDefault="00112E1B" w:rsidP="009557BB">
      <w:pPr>
        <w:pStyle w:val="Style1"/>
        <w:numPr>
          <w:ilvl w:val="0"/>
          <w:numId w:val="0"/>
        </w:numPr>
        <w:ind w:left="357" w:hanging="357"/>
        <w:outlineLvl w:val="9"/>
      </w:pPr>
      <w:r>
        <w:t>7.</w:t>
      </w:r>
      <w:r>
        <w:tab/>
      </w:r>
      <w:r w:rsidR="00A56189">
        <w:t>Review of Monitoring and Control Plan</w:t>
      </w:r>
    </w:p>
    <w:p w:rsidR="009557BB" w:rsidRPr="009557BB" w:rsidRDefault="009557BB" w:rsidP="009557BB">
      <w:pPr>
        <w:pStyle w:val="Style1"/>
        <w:numPr>
          <w:ilvl w:val="0"/>
          <w:numId w:val="0"/>
        </w:numPr>
        <w:ind w:left="357" w:hanging="357"/>
        <w:outlineLvl w:val="9"/>
        <w:rPr>
          <w:b w:val="0"/>
          <w:color w:val="auto"/>
          <w:sz w:val="22"/>
          <w:szCs w:val="22"/>
        </w:rPr>
      </w:pPr>
      <w:r>
        <w:tab/>
      </w:r>
      <w:r w:rsidRPr="009557BB">
        <w:rPr>
          <w:b w:val="0"/>
          <w:color w:val="auto"/>
          <w:sz w:val="22"/>
          <w:szCs w:val="22"/>
        </w:rPr>
        <w:t>As the first iteration, this plan will be reviewed 12 months after its implementation to ensure it is fit for purpose, or earlier should concerns be highlighted. Version control is documented at the beginning of the document.</w:t>
      </w:r>
    </w:p>
    <w:p w:rsidR="009557BB" w:rsidRPr="009557BB" w:rsidRDefault="009557BB" w:rsidP="009557BB">
      <w:pPr>
        <w:pStyle w:val="Style1"/>
        <w:numPr>
          <w:ilvl w:val="0"/>
          <w:numId w:val="0"/>
        </w:numPr>
        <w:ind w:left="357" w:hanging="357"/>
        <w:outlineLvl w:val="9"/>
        <w:rPr>
          <w:b w:val="0"/>
          <w:color w:val="auto"/>
          <w:sz w:val="22"/>
          <w:szCs w:val="22"/>
        </w:rPr>
      </w:pPr>
      <w:r w:rsidRPr="009557BB">
        <w:rPr>
          <w:b w:val="0"/>
          <w:color w:val="auto"/>
          <w:sz w:val="22"/>
          <w:szCs w:val="22"/>
        </w:rPr>
        <w:tab/>
        <w:t>Once confidence has been established in its robustness, the NWIFCA M&amp;C Plan will be reviewed on a five year</w:t>
      </w:r>
      <w:r w:rsidR="00603132">
        <w:rPr>
          <w:b w:val="0"/>
          <w:color w:val="auto"/>
          <w:sz w:val="22"/>
          <w:szCs w:val="22"/>
        </w:rPr>
        <w:t>ly</w:t>
      </w:r>
      <w:r w:rsidRPr="009557BB">
        <w:rPr>
          <w:b w:val="0"/>
          <w:color w:val="auto"/>
          <w:sz w:val="22"/>
          <w:szCs w:val="22"/>
        </w:rPr>
        <w:t xml:space="preserve"> basis.</w:t>
      </w:r>
    </w:p>
    <w:p w:rsidR="001D7762" w:rsidRDefault="001D7762" w:rsidP="001D7762">
      <w:pPr>
        <w:ind w:left="357" w:hanging="357"/>
        <w:jc w:val="both"/>
      </w:pPr>
    </w:p>
    <w:bookmarkStart w:id="1" w:name="_MON_1569917901"/>
    <w:bookmarkEnd w:id="1"/>
    <w:p w:rsidR="008547A4" w:rsidRDefault="008547A4" w:rsidP="001D7762">
      <w:pPr>
        <w:ind w:left="357" w:hanging="357"/>
        <w:jc w:val="both"/>
      </w:pPr>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55pt" o:ole="">
            <v:imagedata r:id="rId11" o:title=""/>
          </v:shape>
          <o:OLEObject Type="Embed" ProgID="Excel.Sheet.12" ShapeID="_x0000_i1025" DrawAspect="Icon" ObjectID="_1570272032" r:id="rId12"/>
        </w:object>
      </w:r>
    </w:p>
    <w:p w:rsidR="00DF0F34" w:rsidRPr="00142ABC" w:rsidRDefault="00DF0F34" w:rsidP="00142ABC">
      <w:pPr>
        <w:spacing w:after="0"/>
        <w:rPr>
          <w:b/>
          <w:i/>
        </w:rPr>
      </w:pPr>
    </w:p>
    <w:p w:rsidR="00A7324E" w:rsidRDefault="00A7324E" w:rsidP="004E7B96">
      <w:pPr>
        <w:jc w:val="center"/>
        <w:rPr>
          <w:b/>
          <w:i/>
        </w:rPr>
      </w:pPr>
    </w:p>
    <w:p w:rsidR="004E7B96" w:rsidRDefault="004E7B96" w:rsidP="004E7B96">
      <w:pPr>
        <w:rPr>
          <w:b/>
          <w:i/>
        </w:rPr>
      </w:pPr>
    </w:p>
    <w:sectPr w:rsidR="004E7B96" w:rsidSect="004E7B96">
      <w:headerReference w:type="default" r:id="rId13"/>
      <w:footerReference w:type="default" r:id="rId14"/>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260" w:rsidRDefault="00993260" w:rsidP="00993260">
      <w:pPr>
        <w:spacing w:after="0" w:line="240" w:lineRule="auto"/>
      </w:pPr>
      <w:r>
        <w:separator/>
      </w:r>
    </w:p>
  </w:endnote>
  <w:endnote w:type="continuationSeparator" w:id="0">
    <w:p w:rsidR="00993260" w:rsidRDefault="00993260" w:rsidP="009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49576"/>
      <w:docPartObj>
        <w:docPartGallery w:val="Page Numbers (Bottom of Page)"/>
        <w:docPartUnique/>
      </w:docPartObj>
    </w:sdtPr>
    <w:sdtEndPr>
      <w:rPr>
        <w:noProof/>
      </w:rPr>
    </w:sdtEndPr>
    <w:sdtContent>
      <w:p w:rsidR="00993260" w:rsidRDefault="00993260">
        <w:pPr>
          <w:pStyle w:val="Footer"/>
          <w:jc w:val="right"/>
        </w:pPr>
        <w:r>
          <w:fldChar w:fldCharType="begin"/>
        </w:r>
        <w:r>
          <w:instrText xml:space="preserve"> PAGE   \* MERGEFORMAT </w:instrText>
        </w:r>
        <w:r>
          <w:fldChar w:fldCharType="separate"/>
        </w:r>
        <w:r w:rsidR="00C0259A">
          <w:rPr>
            <w:noProof/>
          </w:rPr>
          <w:t>2</w:t>
        </w:r>
        <w:r>
          <w:rPr>
            <w:noProof/>
          </w:rPr>
          <w:fldChar w:fldCharType="end"/>
        </w:r>
      </w:p>
    </w:sdtContent>
  </w:sdt>
  <w:p w:rsidR="00993260" w:rsidRDefault="00993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260" w:rsidRDefault="00993260" w:rsidP="00993260">
      <w:pPr>
        <w:spacing w:after="0" w:line="240" w:lineRule="auto"/>
      </w:pPr>
      <w:r>
        <w:separator/>
      </w:r>
    </w:p>
  </w:footnote>
  <w:footnote w:type="continuationSeparator" w:id="0">
    <w:p w:rsidR="00993260" w:rsidRDefault="00993260" w:rsidP="0099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60" w:rsidRDefault="00C0259A">
    <w:pPr>
      <w:pStyle w:val="Header"/>
    </w:pPr>
    <w:sdt>
      <w:sdtPr>
        <w:id w:val="1077323221"/>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F376A">
      <w:ptab w:relativeTo="margin" w:alignment="center" w:leader="none"/>
    </w:r>
    <w:r w:rsidR="00DF376A">
      <w:ptab w:relativeTo="margin" w:alignment="right" w:leader="none"/>
    </w:r>
    <w:r w:rsidR="00DF376A">
      <w:t>V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85D"/>
    <w:multiLevelType w:val="hybridMultilevel"/>
    <w:tmpl w:val="CA583A50"/>
    <w:lvl w:ilvl="0" w:tplc="4B0C6A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70466"/>
    <w:multiLevelType w:val="hybridMultilevel"/>
    <w:tmpl w:val="C59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421231"/>
    <w:multiLevelType w:val="hybridMultilevel"/>
    <w:tmpl w:val="2CC621A0"/>
    <w:lvl w:ilvl="0" w:tplc="6798BDBA">
      <w:start w:val="1"/>
      <w:numFmt w:val="bullet"/>
      <w:lvlText w:val="•"/>
      <w:lvlJc w:val="left"/>
      <w:pPr>
        <w:tabs>
          <w:tab w:val="num" w:pos="720"/>
        </w:tabs>
        <w:ind w:left="720" w:hanging="360"/>
      </w:pPr>
      <w:rPr>
        <w:rFonts w:ascii="Arial" w:hAnsi="Arial" w:hint="default"/>
      </w:rPr>
    </w:lvl>
    <w:lvl w:ilvl="1" w:tplc="0DBC2542" w:tentative="1">
      <w:start w:val="1"/>
      <w:numFmt w:val="bullet"/>
      <w:lvlText w:val="•"/>
      <w:lvlJc w:val="left"/>
      <w:pPr>
        <w:tabs>
          <w:tab w:val="num" w:pos="1440"/>
        </w:tabs>
        <w:ind w:left="1440" w:hanging="360"/>
      </w:pPr>
      <w:rPr>
        <w:rFonts w:ascii="Arial" w:hAnsi="Arial" w:hint="default"/>
      </w:rPr>
    </w:lvl>
    <w:lvl w:ilvl="2" w:tplc="A3800D52" w:tentative="1">
      <w:start w:val="1"/>
      <w:numFmt w:val="bullet"/>
      <w:lvlText w:val="•"/>
      <w:lvlJc w:val="left"/>
      <w:pPr>
        <w:tabs>
          <w:tab w:val="num" w:pos="2160"/>
        </w:tabs>
        <w:ind w:left="2160" w:hanging="360"/>
      </w:pPr>
      <w:rPr>
        <w:rFonts w:ascii="Arial" w:hAnsi="Arial" w:hint="default"/>
      </w:rPr>
    </w:lvl>
    <w:lvl w:ilvl="3" w:tplc="533A4C20" w:tentative="1">
      <w:start w:val="1"/>
      <w:numFmt w:val="bullet"/>
      <w:lvlText w:val="•"/>
      <w:lvlJc w:val="left"/>
      <w:pPr>
        <w:tabs>
          <w:tab w:val="num" w:pos="2880"/>
        </w:tabs>
        <w:ind w:left="2880" w:hanging="360"/>
      </w:pPr>
      <w:rPr>
        <w:rFonts w:ascii="Arial" w:hAnsi="Arial" w:hint="default"/>
      </w:rPr>
    </w:lvl>
    <w:lvl w:ilvl="4" w:tplc="BB900048" w:tentative="1">
      <w:start w:val="1"/>
      <w:numFmt w:val="bullet"/>
      <w:lvlText w:val="•"/>
      <w:lvlJc w:val="left"/>
      <w:pPr>
        <w:tabs>
          <w:tab w:val="num" w:pos="3600"/>
        </w:tabs>
        <w:ind w:left="3600" w:hanging="360"/>
      </w:pPr>
      <w:rPr>
        <w:rFonts w:ascii="Arial" w:hAnsi="Arial" w:hint="default"/>
      </w:rPr>
    </w:lvl>
    <w:lvl w:ilvl="5" w:tplc="35626340" w:tentative="1">
      <w:start w:val="1"/>
      <w:numFmt w:val="bullet"/>
      <w:lvlText w:val="•"/>
      <w:lvlJc w:val="left"/>
      <w:pPr>
        <w:tabs>
          <w:tab w:val="num" w:pos="4320"/>
        </w:tabs>
        <w:ind w:left="4320" w:hanging="360"/>
      </w:pPr>
      <w:rPr>
        <w:rFonts w:ascii="Arial" w:hAnsi="Arial" w:hint="default"/>
      </w:rPr>
    </w:lvl>
    <w:lvl w:ilvl="6" w:tplc="E9608A7E" w:tentative="1">
      <w:start w:val="1"/>
      <w:numFmt w:val="bullet"/>
      <w:lvlText w:val="•"/>
      <w:lvlJc w:val="left"/>
      <w:pPr>
        <w:tabs>
          <w:tab w:val="num" w:pos="5040"/>
        </w:tabs>
        <w:ind w:left="5040" w:hanging="360"/>
      </w:pPr>
      <w:rPr>
        <w:rFonts w:ascii="Arial" w:hAnsi="Arial" w:hint="default"/>
      </w:rPr>
    </w:lvl>
    <w:lvl w:ilvl="7" w:tplc="92146DD2" w:tentative="1">
      <w:start w:val="1"/>
      <w:numFmt w:val="bullet"/>
      <w:lvlText w:val="•"/>
      <w:lvlJc w:val="left"/>
      <w:pPr>
        <w:tabs>
          <w:tab w:val="num" w:pos="5760"/>
        </w:tabs>
        <w:ind w:left="5760" w:hanging="360"/>
      </w:pPr>
      <w:rPr>
        <w:rFonts w:ascii="Arial" w:hAnsi="Arial" w:hint="default"/>
      </w:rPr>
    </w:lvl>
    <w:lvl w:ilvl="8" w:tplc="73F03E84" w:tentative="1">
      <w:start w:val="1"/>
      <w:numFmt w:val="bullet"/>
      <w:lvlText w:val="•"/>
      <w:lvlJc w:val="left"/>
      <w:pPr>
        <w:tabs>
          <w:tab w:val="num" w:pos="6480"/>
        </w:tabs>
        <w:ind w:left="6480" w:hanging="360"/>
      </w:pPr>
      <w:rPr>
        <w:rFonts w:ascii="Arial" w:hAnsi="Arial" w:hint="default"/>
      </w:rPr>
    </w:lvl>
  </w:abstractNum>
  <w:abstractNum w:abstractNumId="3">
    <w:nsid w:val="1E59629B"/>
    <w:multiLevelType w:val="hybridMultilevel"/>
    <w:tmpl w:val="924E3258"/>
    <w:lvl w:ilvl="0" w:tplc="FD08A6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0814AC"/>
    <w:multiLevelType w:val="hybridMultilevel"/>
    <w:tmpl w:val="7BC4784C"/>
    <w:lvl w:ilvl="0" w:tplc="A1469EA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BF0B2A"/>
    <w:multiLevelType w:val="multilevel"/>
    <w:tmpl w:val="FB22D31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23D67584"/>
    <w:multiLevelType w:val="hybridMultilevel"/>
    <w:tmpl w:val="16169478"/>
    <w:lvl w:ilvl="0" w:tplc="08090001">
      <w:start w:val="1"/>
      <w:numFmt w:val="bullet"/>
      <w:lvlText w:val=""/>
      <w:lvlJc w:val="left"/>
      <w:pPr>
        <w:ind w:left="1141" w:hanging="360"/>
      </w:pPr>
      <w:rPr>
        <w:rFonts w:ascii="Symbol" w:hAnsi="Symbol"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7">
    <w:nsid w:val="397A2D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6A1649"/>
    <w:multiLevelType w:val="hybridMultilevel"/>
    <w:tmpl w:val="0090E362"/>
    <w:lvl w:ilvl="0" w:tplc="F66631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FC2711"/>
    <w:multiLevelType w:val="hybridMultilevel"/>
    <w:tmpl w:val="10560D54"/>
    <w:lvl w:ilvl="0" w:tplc="A1469EA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425065"/>
    <w:multiLevelType w:val="multilevel"/>
    <w:tmpl w:val="1226BA26"/>
    <w:lvl w:ilvl="0">
      <w:start w:val="1"/>
      <w:numFmt w:val="decimal"/>
      <w:pStyle w:val="Style1"/>
      <w:lvlText w:val="%1."/>
      <w:lvlJc w:val="left"/>
      <w:pPr>
        <w:ind w:left="360" w:hanging="360"/>
      </w:p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982A49"/>
    <w:multiLevelType w:val="hybridMultilevel"/>
    <w:tmpl w:val="F4BE9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1123497"/>
    <w:multiLevelType w:val="hybridMultilevel"/>
    <w:tmpl w:val="62E0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4210DD"/>
    <w:multiLevelType w:val="hybridMultilevel"/>
    <w:tmpl w:val="CA3E5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B806E33"/>
    <w:multiLevelType w:val="hybridMultilevel"/>
    <w:tmpl w:val="D0D8775A"/>
    <w:lvl w:ilvl="0" w:tplc="08090001">
      <w:start w:val="1"/>
      <w:numFmt w:val="bullet"/>
      <w:lvlText w:val=""/>
      <w:lvlJc w:val="left"/>
      <w:pPr>
        <w:ind w:left="1073" w:hanging="360"/>
      </w:pPr>
      <w:rPr>
        <w:rFonts w:ascii="Symbol" w:hAnsi="Symbol" w:hint="default"/>
      </w:rPr>
    </w:lvl>
    <w:lvl w:ilvl="1" w:tplc="08090003" w:tentative="1">
      <w:start w:val="1"/>
      <w:numFmt w:val="bullet"/>
      <w:lvlText w:val="o"/>
      <w:lvlJc w:val="left"/>
      <w:pPr>
        <w:ind w:left="1793" w:hanging="360"/>
      </w:pPr>
      <w:rPr>
        <w:rFonts w:ascii="Courier New" w:hAnsi="Courier New" w:cs="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cs="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cs="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15">
    <w:nsid w:val="73B241F7"/>
    <w:multiLevelType w:val="hybridMultilevel"/>
    <w:tmpl w:val="4004329C"/>
    <w:lvl w:ilvl="0" w:tplc="B2D62A40">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D73592"/>
    <w:multiLevelType w:val="hybridMultilevel"/>
    <w:tmpl w:val="FA44AFB4"/>
    <w:lvl w:ilvl="0" w:tplc="2A38EE3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70F48F5"/>
    <w:multiLevelType w:val="hybridMultilevel"/>
    <w:tmpl w:val="905C8F2A"/>
    <w:lvl w:ilvl="0" w:tplc="DD88483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1C4766"/>
    <w:multiLevelType w:val="hybridMultilevel"/>
    <w:tmpl w:val="33FC9D58"/>
    <w:lvl w:ilvl="0" w:tplc="A1469EA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6"/>
  </w:num>
  <w:num w:numId="5">
    <w:abstractNumId w:val="17"/>
  </w:num>
  <w:num w:numId="6">
    <w:abstractNumId w:val="0"/>
  </w:num>
  <w:num w:numId="7">
    <w:abstractNumId w:val="3"/>
  </w:num>
  <w:num w:numId="8">
    <w:abstractNumId w:val="18"/>
  </w:num>
  <w:num w:numId="9">
    <w:abstractNumId w:val="2"/>
  </w:num>
  <w:num w:numId="10">
    <w:abstractNumId w:val="4"/>
  </w:num>
  <w:num w:numId="11">
    <w:abstractNumId w:val="9"/>
  </w:num>
  <w:num w:numId="12">
    <w:abstractNumId w:val="5"/>
  </w:num>
  <w:num w:numId="13">
    <w:abstractNumId w:val="15"/>
  </w:num>
  <w:num w:numId="14">
    <w:abstractNumId w:val="13"/>
  </w:num>
  <w:num w:numId="15">
    <w:abstractNumId w:val="6"/>
  </w:num>
  <w:num w:numId="16">
    <w:abstractNumId w:val="14"/>
  </w:num>
  <w:num w:numId="17">
    <w:abstractNumId w:val="12"/>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60"/>
    <w:rsid w:val="0000146C"/>
    <w:rsid w:val="00004FA7"/>
    <w:rsid w:val="000551F4"/>
    <w:rsid w:val="0006744C"/>
    <w:rsid w:val="00076254"/>
    <w:rsid w:val="00092550"/>
    <w:rsid w:val="00093D0B"/>
    <w:rsid w:val="00095C30"/>
    <w:rsid w:val="000A420C"/>
    <w:rsid w:val="000B14A9"/>
    <w:rsid w:val="000C62E8"/>
    <w:rsid w:val="000D6BE2"/>
    <w:rsid w:val="000E17B7"/>
    <w:rsid w:val="000F1AB2"/>
    <w:rsid w:val="001000B3"/>
    <w:rsid w:val="00110715"/>
    <w:rsid w:val="00112E1B"/>
    <w:rsid w:val="001304B3"/>
    <w:rsid w:val="00142ABC"/>
    <w:rsid w:val="00153ADB"/>
    <w:rsid w:val="00156155"/>
    <w:rsid w:val="00165432"/>
    <w:rsid w:val="001838FF"/>
    <w:rsid w:val="00183935"/>
    <w:rsid w:val="001A44F0"/>
    <w:rsid w:val="001C41A1"/>
    <w:rsid w:val="001D0BB7"/>
    <w:rsid w:val="001D7762"/>
    <w:rsid w:val="001F4A88"/>
    <w:rsid w:val="0022075E"/>
    <w:rsid w:val="002974CE"/>
    <w:rsid w:val="002F6CC0"/>
    <w:rsid w:val="00301373"/>
    <w:rsid w:val="003200C9"/>
    <w:rsid w:val="003200F1"/>
    <w:rsid w:val="00346A18"/>
    <w:rsid w:val="00397E0C"/>
    <w:rsid w:val="003C1D73"/>
    <w:rsid w:val="003D5789"/>
    <w:rsid w:val="004132BD"/>
    <w:rsid w:val="0042033D"/>
    <w:rsid w:val="00420415"/>
    <w:rsid w:val="004367CF"/>
    <w:rsid w:val="0045387E"/>
    <w:rsid w:val="00454099"/>
    <w:rsid w:val="004729CC"/>
    <w:rsid w:val="004A2748"/>
    <w:rsid w:val="004B7AF0"/>
    <w:rsid w:val="004C0D7D"/>
    <w:rsid w:val="004D1DC0"/>
    <w:rsid w:val="004E6851"/>
    <w:rsid w:val="004E7B96"/>
    <w:rsid w:val="005063F0"/>
    <w:rsid w:val="00513F3F"/>
    <w:rsid w:val="00525DF4"/>
    <w:rsid w:val="00551EF3"/>
    <w:rsid w:val="00571659"/>
    <w:rsid w:val="005A2218"/>
    <w:rsid w:val="005D1D08"/>
    <w:rsid w:val="00603132"/>
    <w:rsid w:val="00673886"/>
    <w:rsid w:val="006907B9"/>
    <w:rsid w:val="0069183C"/>
    <w:rsid w:val="00692431"/>
    <w:rsid w:val="00695338"/>
    <w:rsid w:val="006A44BF"/>
    <w:rsid w:val="006B4263"/>
    <w:rsid w:val="006B5193"/>
    <w:rsid w:val="006C48E2"/>
    <w:rsid w:val="006E054C"/>
    <w:rsid w:val="006E1BD2"/>
    <w:rsid w:val="0072011E"/>
    <w:rsid w:val="00745848"/>
    <w:rsid w:val="00754586"/>
    <w:rsid w:val="00776720"/>
    <w:rsid w:val="00794F06"/>
    <w:rsid w:val="007A2DA5"/>
    <w:rsid w:val="007A309B"/>
    <w:rsid w:val="007C6BE9"/>
    <w:rsid w:val="007D1A97"/>
    <w:rsid w:val="007E08A2"/>
    <w:rsid w:val="007E71DE"/>
    <w:rsid w:val="007F643B"/>
    <w:rsid w:val="00806F9D"/>
    <w:rsid w:val="00840627"/>
    <w:rsid w:val="00845D70"/>
    <w:rsid w:val="008547A4"/>
    <w:rsid w:val="008555FC"/>
    <w:rsid w:val="008C6CD9"/>
    <w:rsid w:val="008C6DD4"/>
    <w:rsid w:val="008D25F8"/>
    <w:rsid w:val="008F1607"/>
    <w:rsid w:val="009235EB"/>
    <w:rsid w:val="00931AB5"/>
    <w:rsid w:val="009557BB"/>
    <w:rsid w:val="00956065"/>
    <w:rsid w:val="00986802"/>
    <w:rsid w:val="009907E4"/>
    <w:rsid w:val="00993260"/>
    <w:rsid w:val="009B0DE3"/>
    <w:rsid w:val="009D29EF"/>
    <w:rsid w:val="009D508C"/>
    <w:rsid w:val="00A031FA"/>
    <w:rsid w:val="00A22291"/>
    <w:rsid w:val="00A464C5"/>
    <w:rsid w:val="00A50C1D"/>
    <w:rsid w:val="00A527CC"/>
    <w:rsid w:val="00A5418B"/>
    <w:rsid w:val="00A56189"/>
    <w:rsid w:val="00A60EAE"/>
    <w:rsid w:val="00A63786"/>
    <w:rsid w:val="00A7308E"/>
    <w:rsid w:val="00A7324E"/>
    <w:rsid w:val="00A77C93"/>
    <w:rsid w:val="00A90CEE"/>
    <w:rsid w:val="00A94311"/>
    <w:rsid w:val="00AB18F0"/>
    <w:rsid w:val="00B0223A"/>
    <w:rsid w:val="00B1344F"/>
    <w:rsid w:val="00B216D8"/>
    <w:rsid w:val="00B232DF"/>
    <w:rsid w:val="00B24382"/>
    <w:rsid w:val="00B64C27"/>
    <w:rsid w:val="00B7621C"/>
    <w:rsid w:val="00B81DAD"/>
    <w:rsid w:val="00B954BD"/>
    <w:rsid w:val="00BF4CB9"/>
    <w:rsid w:val="00C0259A"/>
    <w:rsid w:val="00C35BE6"/>
    <w:rsid w:val="00C36CFC"/>
    <w:rsid w:val="00C43D55"/>
    <w:rsid w:val="00C464BB"/>
    <w:rsid w:val="00C50844"/>
    <w:rsid w:val="00C70520"/>
    <w:rsid w:val="00C72B0B"/>
    <w:rsid w:val="00C91A6A"/>
    <w:rsid w:val="00CD66E6"/>
    <w:rsid w:val="00D0271D"/>
    <w:rsid w:val="00D359C6"/>
    <w:rsid w:val="00D40BD4"/>
    <w:rsid w:val="00D469DD"/>
    <w:rsid w:val="00DD64FE"/>
    <w:rsid w:val="00DE21F3"/>
    <w:rsid w:val="00DE6309"/>
    <w:rsid w:val="00DF0F34"/>
    <w:rsid w:val="00DF376A"/>
    <w:rsid w:val="00E14B52"/>
    <w:rsid w:val="00E55238"/>
    <w:rsid w:val="00E623DB"/>
    <w:rsid w:val="00E807C3"/>
    <w:rsid w:val="00E83821"/>
    <w:rsid w:val="00EB5643"/>
    <w:rsid w:val="00F1107B"/>
    <w:rsid w:val="00F12E84"/>
    <w:rsid w:val="00F156CB"/>
    <w:rsid w:val="00F5118C"/>
    <w:rsid w:val="00F72D10"/>
    <w:rsid w:val="00F82953"/>
    <w:rsid w:val="00F91FF2"/>
    <w:rsid w:val="00F96485"/>
    <w:rsid w:val="00FA22DE"/>
    <w:rsid w:val="00FB3AA8"/>
    <w:rsid w:val="00FB3B68"/>
    <w:rsid w:val="00FB6AE5"/>
    <w:rsid w:val="00FD3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6A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6A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260"/>
  </w:style>
  <w:style w:type="paragraph" w:styleId="Footer">
    <w:name w:val="footer"/>
    <w:basedOn w:val="Normal"/>
    <w:link w:val="FooterChar"/>
    <w:uiPriority w:val="99"/>
    <w:unhideWhenUsed/>
    <w:rsid w:val="00993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260"/>
  </w:style>
  <w:style w:type="paragraph" w:styleId="Title">
    <w:name w:val="Title"/>
    <w:basedOn w:val="Normal"/>
    <w:next w:val="Normal"/>
    <w:link w:val="TitleChar"/>
    <w:uiPriority w:val="10"/>
    <w:qFormat/>
    <w:rsid w:val="00A637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378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B6AE5"/>
    <w:rPr>
      <w:rFonts w:asciiTheme="majorHAnsi" w:eastAsiaTheme="majorEastAsia" w:hAnsiTheme="majorHAnsi" w:cstheme="majorBidi"/>
      <w:b/>
      <w:bCs/>
      <w:color w:val="4F81BD" w:themeColor="accent1"/>
      <w:sz w:val="26"/>
      <w:szCs w:val="26"/>
    </w:rPr>
  </w:style>
  <w:style w:type="paragraph" w:styleId="ListParagraph">
    <w:name w:val="List Paragraph"/>
    <w:aliases w:val="Dot pt,No Spacing1,List Paragraph Char Char Char,Indicator Text,List Paragraph1,Numbered Para 1,Bullet 1,List Paragraph12,Bullet Style,F5 List Paragraph,Bullet Points,MAIN CONTENT"/>
    <w:basedOn w:val="Normal"/>
    <w:link w:val="ListParagraphChar"/>
    <w:uiPriority w:val="34"/>
    <w:qFormat/>
    <w:rsid w:val="00FB6AE5"/>
    <w:pPr>
      <w:ind w:left="720"/>
      <w:contextualSpacing/>
    </w:pPr>
  </w:style>
  <w:style w:type="paragraph" w:customStyle="1" w:styleId="Style1">
    <w:name w:val="Style1"/>
    <w:basedOn w:val="Heading2"/>
    <w:link w:val="Style1Char"/>
    <w:qFormat/>
    <w:rsid w:val="00454099"/>
    <w:pPr>
      <w:numPr>
        <w:numId w:val="1"/>
      </w:numPr>
    </w:pPr>
    <w:rPr>
      <w:rFonts w:asciiTheme="minorHAnsi" w:hAnsiTheme="minorHAnsi"/>
      <w:color w:val="31849B" w:themeColor="accent5" w:themeShade="BF"/>
    </w:rPr>
  </w:style>
  <w:style w:type="character" w:customStyle="1" w:styleId="Heading1Char">
    <w:name w:val="Heading 1 Char"/>
    <w:basedOn w:val="DefaultParagraphFont"/>
    <w:link w:val="Heading1"/>
    <w:uiPriority w:val="9"/>
    <w:rsid w:val="00FB6AE5"/>
    <w:rPr>
      <w:rFonts w:asciiTheme="majorHAnsi" w:eastAsiaTheme="majorEastAsia" w:hAnsiTheme="majorHAnsi" w:cstheme="majorBidi"/>
      <w:b/>
      <w:bCs/>
      <w:color w:val="365F91" w:themeColor="accent1" w:themeShade="BF"/>
      <w:sz w:val="28"/>
      <w:szCs w:val="28"/>
    </w:rPr>
  </w:style>
  <w:style w:type="character" w:customStyle="1" w:styleId="Style1Char">
    <w:name w:val="Style1 Char"/>
    <w:basedOn w:val="Heading2Char"/>
    <w:link w:val="Style1"/>
    <w:rsid w:val="00454099"/>
    <w:rPr>
      <w:rFonts w:asciiTheme="majorHAnsi" w:eastAsiaTheme="majorEastAsia" w:hAnsiTheme="majorHAnsi" w:cstheme="majorBidi"/>
      <w:b/>
      <w:bCs/>
      <w:color w:val="31849B" w:themeColor="accent5" w:themeShade="BF"/>
      <w:sz w:val="26"/>
      <w:szCs w:val="26"/>
    </w:rPr>
  </w:style>
  <w:style w:type="paragraph" w:styleId="BalloonText">
    <w:name w:val="Balloon Text"/>
    <w:basedOn w:val="Normal"/>
    <w:link w:val="BalloonTextChar"/>
    <w:uiPriority w:val="99"/>
    <w:semiHidden/>
    <w:unhideWhenUsed/>
    <w:rsid w:val="00DF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76A"/>
    <w:rPr>
      <w:rFonts w:ascii="Tahoma" w:hAnsi="Tahoma" w:cs="Tahoma"/>
      <w:sz w:val="16"/>
      <w:szCs w:val="16"/>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qFormat/>
    <w:locked/>
    <w:rsid w:val="00DD64FE"/>
  </w:style>
  <w:style w:type="character" w:styleId="Hyperlink">
    <w:name w:val="Hyperlink"/>
    <w:basedOn w:val="DefaultParagraphFont"/>
    <w:uiPriority w:val="99"/>
    <w:unhideWhenUsed/>
    <w:rsid w:val="00DD64FE"/>
    <w:rPr>
      <w:color w:val="0000FF" w:themeColor="hyperlink"/>
      <w:u w:val="single"/>
    </w:rPr>
  </w:style>
  <w:style w:type="table" w:styleId="LightList-Accent5">
    <w:name w:val="Light List Accent 5"/>
    <w:basedOn w:val="TableNormal"/>
    <w:uiPriority w:val="61"/>
    <w:rsid w:val="00142AB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rmalWeb">
    <w:name w:val="Normal (Web)"/>
    <w:basedOn w:val="Normal"/>
    <w:uiPriority w:val="99"/>
    <w:unhideWhenUsed/>
    <w:rsid w:val="00142AB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F91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82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6A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6A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260"/>
  </w:style>
  <w:style w:type="paragraph" w:styleId="Footer">
    <w:name w:val="footer"/>
    <w:basedOn w:val="Normal"/>
    <w:link w:val="FooterChar"/>
    <w:uiPriority w:val="99"/>
    <w:unhideWhenUsed/>
    <w:rsid w:val="00993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260"/>
  </w:style>
  <w:style w:type="paragraph" w:styleId="Title">
    <w:name w:val="Title"/>
    <w:basedOn w:val="Normal"/>
    <w:next w:val="Normal"/>
    <w:link w:val="TitleChar"/>
    <w:uiPriority w:val="10"/>
    <w:qFormat/>
    <w:rsid w:val="00A637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378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B6AE5"/>
    <w:rPr>
      <w:rFonts w:asciiTheme="majorHAnsi" w:eastAsiaTheme="majorEastAsia" w:hAnsiTheme="majorHAnsi" w:cstheme="majorBidi"/>
      <w:b/>
      <w:bCs/>
      <w:color w:val="4F81BD" w:themeColor="accent1"/>
      <w:sz w:val="26"/>
      <w:szCs w:val="26"/>
    </w:rPr>
  </w:style>
  <w:style w:type="paragraph" w:styleId="ListParagraph">
    <w:name w:val="List Paragraph"/>
    <w:aliases w:val="Dot pt,No Spacing1,List Paragraph Char Char Char,Indicator Text,List Paragraph1,Numbered Para 1,Bullet 1,List Paragraph12,Bullet Style,F5 List Paragraph,Bullet Points,MAIN CONTENT"/>
    <w:basedOn w:val="Normal"/>
    <w:link w:val="ListParagraphChar"/>
    <w:uiPriority w:val="34"/>
    <w:qFormat/>
    <w:rsid w:val="00FB6AE5"/>
    <w:pPr>
      <w:ind w:left="720"/>
      <w:contextualSpacing/>
    </w:pPr>
  </w:style>
  <w:style w:type="paragraph" w:customStyle="1" w:styleId="Style1">
    <w:name w:val="Style1"/>
    <w:basedOn w:val="Heading2"/>
    <w:link w:val="Style1Char"/>
    <w:qFormat/>
    <w:rsid w:val="00454099"/>
    <w:pPr>
      <w:numPr>
        <w:numId w:val="1"/>
      </w:numPr>
    </w:pPr>
    <w:rPr>
      <w:rFonts w:asciiTheme="minorHAnsi" w:hAnsiTheme="minorHAnsi"/>
      <w:color w:val="31849B" w:themeColor="accent5" w:themeShade="BF"/>
    </w:rPr>
  </w:style>
  <w:style w:type="character" w:customStyle="1" w:styleId="Heading1Char">
    <w:name w:val="Heading 1 Char"/>
    <w:basedOn w:val="DefaultParagraphFont"/>
    <w:link w:val="Heading1"/>
    <w:uiPriority w:val="9"/>
    <w:rsid w:val="00FB6AE5"/>
    <w:rPr>
      <w:rFonts w:asciiTheme="majorHAnsi" w:eastAsiaTheme="majorEastAsia" w:hAnsiTheme="majorHAnsi" w:cstheme="majorBidi"/>
      <w:b/>
      <w:bCs/>
      <w:color w:val="365F91" w:themeColor="accent1" w:themeShade="BF"/>
      <w:sz w:val="28"/>
      <w:szCs w:val="28"/>
    </w:rPr>
  </w:style>
  <w:style w:type="character" w:customStyle="1" w:styleId="Style1Char">
    <w:name w:val="Style1 Char"/>
    <w:basedOn w:val="Heading2Char"/>
    <w:link w:val="Style1"/>
    <w:rsid w:val="00454099"/>
    <w:rPr>
      <w:rFonts w:asciiTheme="majorHAnsi" w:eastAsiaTheme="majorEastAsia" w:hAnsiTheme="majorHAnsi" w:cstheme="majorBidi"/>
      <w:b/>
      <w:bCs/>
      <w:color w:val="31849B" w:themeColor="accent5" w:themeShade="BF"/>
      <w:sz w:val="26"/>
      <w:szCs w:val="26"/>
    </w:rPr>
  </w:style>
  <w:style w:type="paragraph" w:styleId="BalloonText">
    <w:name w:val="Balloon Text"/>
    <w:basedOn w:val="Normal"/>
    <w:link w:val="BalloonTextChar"/>
    <w:uiPriority w:val="99"/>
    <w:semiHidden/>
    <w:unhideWhenUsed/>
    <w:rsid w:val="00DF3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76A"/>
    <w:rPr>
      <w:rFonts w:ascii="Tahoma" w:hAnsi="Tahoma" w:cs="Tahoma"/>
      <w:sz w:val="16"/>
      <w:szCs w:val="16"/>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qFormat/>
    <w:locked/>
    <w:rsid w:val="00DD64FE"/>
  </w:style>
  <w:style w:type="character" w:styleId="Hyperlink">
    <w:name w:val="Hyperlink"/>
    <w:basedOn w:val="DefaultParagraphFont"/>
    <w:uiPriority w:val="99"/>
    <w:unhideWhenUsed/>
    <w:rsid w:val="00DD64FE"/>
    <w:rPr>
      <w:color w:val="0000FF" w:themeColor="hyperlink"/>
      <w:u w:val="single"/>
    </w:rPr>
  </w:style>
  <w:style w:type="table" w:styleId="LightList-Accent5">
    <w:name w:val="Light List Accent 5"/>
    <w:basedOn w:val="TableNormal"/>
    <w:uiPriority w:val="61"/>
    <w:rsid w:val="00142AB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rmalWeb">
    <w:name w:val="Normal (Web)"/>
    <w:basedOn w:val="Normal"/>
    <w:uiPriority w:val="99"/>
    <w:unhideWhenUsed/>
    <w:rsid w:val="00142AB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F91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8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083673">
      <w:bodyDiv w:val="1"/>
      <w:marLeft w:val="0"/>
      <w:marRight w:val="0"/>
      <w:marTop w:val="0"/>
      <w:marBottom w:val="0"/>
      <w:divBdr>
        <w:top w:val="none" w:sz="0" w:space="0" w:color="auto"/>
        <w:left w:val="none" w:sz="0" w:space="0" w:color="auto"/>
        <w:bottom w:val="none" w:sz="0" w:space="0" w:color="auto"/>
        <w:right w:val="none" w:sz="0" w:space="0" w:color="auto"/>
      </w:divBdr>
    </w:div>
    <w:div w:id="1594900534">
      <w:bodyDiv w:val="1"/>
      <w:marLeft w:val="0"/>
      <w:marRight w:val="0"/>
      <w:marTop w:val="0"/>
      <w:marBottom w:val="0"/>
      <w:divBdr>
        <w:top w:val="none" w:sz="0" w:space="0" w:color="auto"/>
        <w:left w:val="none" w:sz="0" w:space="0" w:color="auto"/>
        <w:bottom w:val="none" w:sz="0" w:space="0" w:color="auto"/>
        <w:right w:val="none" w:sz="0" w:space="0" w:color="auto"/>
      </w:divBdr>
      <w:divsChild>
        <w:div w:id="1595741768">
          <w:marLeft w:val="547"/>
          <w:marRight w:val="0"/>
          <w:marTop w:val="154"/>
          <w:marBottom w:val="0"/>
          <w:divBdr>
            <w:top w:val="none" w:sz="0" w:space="0" w:color="auto"/>
            <w:left w:val="none" w:sz="0" w:space="0" w:color="auto"/>
            <w:bottom w:val="none" w:sz="0" w:space="0" w:color="auto"/>
            <w:right w:val="none" w:sz="0" w:space="0" w:color="auto"/>
          </w:divBdr>
        </w:div>
      </w:divsChild>
    </w:div>
    <w:div w:id="19241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w-ifca.gov.uk/marine-protected-areas/hr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93273-0C33-433A-86C3-B9BF29CD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Graham</cp:lastModifiedBy>
  <cp:revision>3</cp:revision>
  <cp:lastPrinted>2017-10-23T12:53:00Z</cp:lastPrinted>
  <dcterms:created xsi:type="dcterms:W3CDTF">2017-10-19T10:35:00Z</dcterms:created>
  <dcterms:modified xsi:type="dcterms:W3CDTF">2017-10-23T12:54:00Z</dcterms:modified>
</cp:coreProperties>
</file>